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81F1" w14:textId="77777777" w:rsidR="00EB3A1B" w:rsidRPr="00EB3A1B" w:rsidRDefault="00EB3A1B" w:rsidP="00EB3A1B">
      <w:pPr>
        <w:pStyle w:val="NormalWeb"/>
        <w:rPr>
          <w:color w:val="000000"/>
        </w:rPr>
      </w:pPr>
      <w:r w:rsidRPr="00EB3A1B">
        <w:rPr>
          <w:color w:val="000000"/>
        </w:rPr>
        <w:t>This analysis integrates multiple data sources to evaluate the effectiveness of Lindenwood University's teacher preparation programs:</w:t>
      </w:r>
    </w:p>
    <w:p w14:paraId="68DACBC5" w14:textId="5246ABF7" w:rsidR="00EB3A1B" w:rsidRPr="00EB3A1B" w:rsidRDefault="00EB3A1B" w:rsidP="00613BDF">
      <w:pPr>
        <w:pStyle w:val="NormalWeb"/>
        <w:ind w:firstLine="720"/>
        <w:rPr>
          <w:color w:val="000000"/>
        </w:rPr>
      </w:pPr>
      <w:r w:rsidRPr="00EB3A1B">
        <w:rPr>
          <w:color w:val="000000"/>
        </w:rPr>
        <w:t>1.</w:t>
      </w:r>
      <w:r w:rsidRPr="00EB3A1B">
        <w:rPr>
          <w:b/>
          <w:bCs/>
          <w:color w:val="000000"/>
        </w:rPr>
        <w:t xml:space="preserve"> Alumni Survey</w:t>
      </w:r>
      <w:r w:rsidRPr="00EB3A1B">
        <w:rPr>
          <w:color w:val="000000"/>
        </w:rPr>
        <w:t xml:space="preserve"> (44 completers from 516 distributed surveys; 9% response rate</w:t>
      </w:r>
      <w:r>
        <w:rPr>
          <w:color w:val="000000"/>
        </w:rPr>
        <w:t>,</w:t>
      </w:r>
      <w:r w:rsidR="00222E5C">
        <w:rPr>
          <w:color w:val="000000"/>
        </w:rPr>
        <w:t xml:space="preserve"> </w:t>
      </w:r>
      <w:r w:rsidR="00F161F8">
        <w:rPr>
          <w:color w:val="000000"/>
        </w:rPr>
        <w:t>fourteen</w:t>
      </w:r>
      <w:r w:rsidR="00222E5C">
        <w:rPr>
          <w:color w:val="000000"/>
        </w:rPr>
        <w:t xml:space="preserve"> responses from 2023-2024</w:t>
      </w:r>
      <w:r w:rsidR="00F161F8">
        <w:rPr>
          <w:color w:val="000000"/>
        </w:rPr>
        <w:t xml:space="preserve"> Alumni</w:t>
      </w:r>
      <w:r w:rsidR="00222E5C">
        <w:rPr>
          <w:color w:val="000000"/>
        </w:rPr>
        <w:t>)</w:t>
      </w:r>
    </w:p>
    <w:p w14:paraId="48F2F211" w14:textId="77777777" w:rsidR="00613BDF" w:rsidRDefault="00EB3A1B" w:rsidP="00613BDF">
      <w:pPr>
        <w:pStyle w:val="NormalWeb"/>
        <w:ind w:left="720"/>
        <w:rPr>
          <w:color w:val="000000"/>
        </w:rPr>
      </w:pPr>
      <w:r w:rsidRPr="00EB3A1B">
        <w:rPr>
          <w:color w:val="000000"/>
        </w:rPr>
        <w:t xml:space="preserve">2. </w:t>
      </w:r>
      <w:r w:rsidRPr="00222E5C">
        <w:rPr>
          <w:b/>
          <w:bCs/>
          <w:color w:val="000000"/>
        </w:rPr>
        <w:t>First-Year Teacher's Principal Evaluation 2024</w:t>
      </w:r>
      <w:r w:rsidRPr="00EB3A1B">
        <w:rPr>
          <w:color w:val="000000"/>
        </w:rPr>
        <w:t xml:space="preserve"> (28 principal evaluations)</w:t>
      </w:r>
    </w:p>
    <w:p w14:paraId="196D91F7" w14:textId="0CCDA9AC" w:rsidR="00EB3A1B" w:rsidRDefault="00EB3A1B" w:rsidP="00613BDF">
      <w:pPr>
        <w:pStyle w:val="NormalWeb"/>
        <w:ind w:left="720"/>
        <w:rPr>
          <w:color w:val="000000"/>
        </w:rPr>
      </w:pPr>
      <w:r w:rsidRPr="00EB3A1B">
        <w:rPr>
          <w:color w:val="000000"/>
        </w:rPr>
        <w:t xml:space="preserve">3. </w:t>
      </w:r>
      <w:r w:rsidRPr="00222E5C">
        <w:rPr>
          <w:b/>
          <w:bCs/>
          <w:color w:val="000000"/>
        </w:rPr>
        <w:t>Faculty Analysis</w:t>
      </w:r>
      <w:r w:rsidRPr="00EB3A1B">
        <w:rPr>
          <w:color w:val="000000"/>
        </w:rPr>
        <w:t xml:space="preserve"> of </w:t>
      </w:r>
      <w:r w:rsidR="004D6479">
        <w:rPr>
          <w:color w:val="000000"/>
        </w:rPr>
        <w:t>A</w:t>
      </w:r>
      <w:r w:rsidRPr="00EB3A1B">
        <w:rPr>
          <w:color w:val="000000"/>
        </w:rPr>
        <w:t xml:space="preserve">lumni </w:t>
      </w:r>
      <w:r w:rsidR="004D6479">
        <w:rPr>
          <w:color w:val="000000"/>
        </w:rPr>
        <w:t>S</w:t>
      </w:r>
      <w:r w:rsidRPr="00EB3A1B">
        <w:rPr>
          <w:color w:val="000000"/>
        </w:rPr>
        <w:t>urvey results</w:t>
      </w:r>
    </w:p>
    <w:p w14:paraId="6491ED30" w14:textId="77777777" w:rsidR="00F161F8" w:rsidRPr="00EB3A1B" w:rsidRDefault="00F161F8" w:rsidP="00EB3A1B">
      <w:pPr>
        <w:pStyle w:val="NormalWeb"/>
        <w:rPr>
          <w:color w:val="000000"/>
        </w:rPr>
      </w:pPr>
    </w:p>
    <w:tbl>
      <w:tblPr>
        <w:tblStyle w:val="TableGrid"/>
        <w:tblpPr w:leftFromText="180" w:rightFromText="180" w:vertAnchor="text" w:horzAnchor="page" w:tblpX="6191" w:tblpY="483"/>
        <w:tblW w:w="7295" w:type="dxa"/>
        <w:tblLook w:val="04A0" w:firstRow="1" w:lastRow="0" w:firstColumn="1" w:lastColumn="0" w:noHBand="0" w:noVBand="1"/>
      </w:tblPr>
      <w:tblGrid>
        <w:gridCol w:w="5130"/>
        <w:gridCol w:w="995"/>
        <w:gridCol w:w="1170"/>
      </w:tblGrid>
      <w:tr w:rsidR="00B665A7" w14:paraId="1DB20538" w14:textId="77777777" w:rsidTr="00F161F8">
        <w:tc>
          <w:tcPr>
            <w:tcW w:w="5130" w:type="dxa"/>
          </w:tcPr>
          <w:p w14:paraId="39DD7234" w14:textId="77777777" w:rsidR="00B665A7" w:rsidRPr="003D24B8" w:rsidRDefault="00B665A7" w:rsidP="00F161F8">
            <w:pPr>
              <w:rPr>
                <w:b/>
                <w:bCs/>
              </w:rPr>
            </w:pPr>
            <w:r w:rsidRPr="003D24B8">
              <w:rPr>
                <w:b/>
                <w:bCs/>
              </w:rPr>
              <w:t>Certification Area</w:t>
            </w:r>
            <w:r>
              <w:rPr>
                <w:b/>
                <w:bCs/>
              </w:rPr>
              <w:t xml:space="preserve">  </w:t>
            </w:r>
          </w:p>
        </w:tc>
        <w:tc>
          <w:tcPr>
            <w:tcW w:w="995" w:type="dxa"/>
          </w:tcPr>
          <w:p w14:paraId="7F72F5B3" w14:textId="77777777" w:rsidR="00B665A7" w:rsidRPr="003D24B8" w:rsidRDefault="00B665A7" w:rsidP="00F161F8">
            <w:pPr>
              <w:rPr>
                <w:b/>
                <w:bCs/>
              </w:rPr>
            </w:pPr>
            <w:r w:rsidRPr="003D24B8">
              <w:rPr>
                <w:b/>
                <w:bCs/>
              </w:rPr>
              <w:t>Count</w:t>
            </w:r>
            <w:r>
              <w:rPr>
                <w:b/>
                <w:bCs/>
              </w:rPr>
              <w:t xml:space="preserve"> N=38</w:t>
            </w:r>
          </w:p>
        </w:tc>
        <w:tc>
          <w:tcPr>
            <w:tcW w:w="1170" w:type="dxa"/>
          </w:tcPr>
          <w:p w14:paraId="7848D8CC" w14:textId="77777777" w:rsidR="00B665A7" w:rsidRPr="003D24B8" w:rsidRDefault="00B665A7" w:rsidP="00F161F8">
            <w:pPr>
              <w:rPr>
                <w:b/>
                <w:bCs/>
              </w:rPr>
            </w:pPr>
            <w:r>
              <w:rPr>
                <w:b/>
                <w:bCs/>
              </w:rPr>
              <w:t>Percent</w:t>
            </w:r>
          </w:p>
        </w:tc>
      </w:tr>
      <w:tr w:rsidR="00B665A7" w14:paraId="3368051F" w14:textId="77777777" w:rsidTr="00F161F8">
        <w:tc>
          <w:tcPr>
            <w:tcW w:w="5130" w:type="dxa"/>
          </w:tcPr>
          <w:p w14:paraId="517EF99A" w14:textId="77777777" w:rsidR="00B665A7" w:rsidRDefault="00B665A7" w:rsidP="00F161F8">
            <w:r>
              <w:t>Early Childhood</w:t>
            </w:r>
          </w:p>
        </w:tc>
        <w:tc>
          <w:tcPr>
            <w:tcW w:w="995" w:type="dxa"/>
          </w:tcPr>
          <w:p w14:paraId="0F3A74FF" w14:textId="77777777" w:rsidR="00B665A7" w:rsidRDefault="00B665A7" w:rsidP="00F161F8">
            <w:r>
              <w:t>2</w:t>
            </w:r>
          </w:p>
        </w:tc>
        <w:tc>
          <w:tcPr>
            <w:tcW w:w="1170" w:type="dxa"/>
          </w:tcPr>
          <w:p w14:paraId="50A70B44" w14:textId="77777777" w:rsidR="00B665A7" w:rsidRDefault="00B665A7" w:rsidP="00F161F8">
            <w:r>
              <w:t>5%</w:t>
            </w:r>
          </w:p>
        </w:tc>
      </w:tr>
      <w:tr w:rsidR="00B665A7" w14:paraId="6BE9637B" w14:textId="77777777" w:rsidTr="00F161F8">
        <w:tc>
          <w:tcPr>
            <w:tcW w:w="5130" w:type="dxa"/>
          </w:tcPr>
          <w:p w14:paraId="389952CD" w14:textId="77777777" w:rsidR="00B665A7" w:rsidRDefault="00B665A7" w:rsidP="00F161F8">
            <w:r>
              <w:t>Early Childhood Special Education</w:t>
            </w:r>
          </w:p>
        </w:tc>
        <w:tc>
          <w:tcPr>
            <w:tcW w:w="995" w:type="dxa"/>
          </w:tcPr>
          <w:p w14:paraId="6D0A4276" w14:textId="77777777" w:rsidR="00B665A7" w:rsidRDefault="00B665A7" w:rsidP="00F161F8">
            <w:r>
              <w:t>3</w:t>
            </w:r>
          </w:p>
        </w:tc>
        <w:tc>
          <w:tcPr>
            <w:tcW w:w="1170" w:type="dxa"/>
          </w:tcPr>
          <w:p w14:paraId="3DA4875A" w14:textId="77777777" w:rsidR="00B665A7" w:rsidRDefault="00B665A7" w:rsidP="00F161F8">
            <w:r>
              <w:t>8%</w:t>
            </w:r>
          </w:p>
        </w:tc>
      </w:tr>
      <w:tr w:rsidR="00B665A7" w14:paraId="1A13CE04" w14:textId="77777777" w:rsidTr="00F161F8">
        <w:tc>
          <w:tcPr>
            <w:tcW w:w="5130" w:type="dxa"/>
          </w:tcPr>
          <w:p w14:paraId="739A5313" w14:textId="77777777" w:rsidR="00B665A7" w:rsidRDefault="00B665A7" w:rsidP="00F161F8">
            <w:r>
              <w:t>Elementary</w:t>
            </w:r>
          </w:p>
        </w:tc>
        <w:tc>
          <w:tcPr>
            <w:tcW w:w="995" w:type="dxa"/>
          </w:tcPr>
          <w:p w14:paraId="0272079A" w14:textId="77777777" w:rsidR="00B665A7" w:rsidRDefault="00B665A7" w:rsidP="00F161F8">
            <w:r>
              <w:t>10</w:t>
            </w:r>
          </w:p>
        </w:tc>
        <w:tc>
          <w:tcPr>
            <w:tcW w:w="1170" w:type="dxa"/>
          </w:tcPr>
          <w:p w14:paraId="6B9A509F" w14:textId="77777777" w:rsidR="00B665A7" w:rsidRDefault="00B665A7" w:rsidP="00F161F8">
            <w:r>
              <w:t>26%</w:t>
            </w:r>
          </w:p>
        </w:tc>
      </w:tr>
      <w:tr w:rsidR="00B665A7" w14:paraId="6F63CBAF" w14:textId="77777777" w:rsidTr="00F161F8">
        <w:tc>
          <w:tcPr>
            <w:tcW w:w="5130" w:type="dxa"/>
          </w:tcPr>
          <w:p w14:paraId="04D32960" w14:textId="77777777" w:rsidR="00B665A7" w:rsidRDefault="00B665A7" w:rsidP="00F161F8">
            <w:r>
              <w:t>Middle School Language Arts 5-9</w:t>
            </w:r>
          </w:p>
        </w:tc>
        <w:tc>
          <w:tcPr>
            <w:tcW w:w="995" w:type="dxa"/>
          </w:tcPr>
          <w:p w14:paraId="33E70B03" w14:textId="77777777" w:rsidR="00B665A7" w:rsidRDefault="00B665A7" w:rsidP="00F161F8">
            <w:r>
              <w:t>1</w:t>
            </w:r>
          </w:p>
        </w:tc>
        <w:tc>
          <w:tcPr>
            <w:tcW w:w="1170" w:type="dxa"/>
          </w:tcPr>
          <w:p w14:paraId="419E4257" w14:textId="77777777" w:rsidR="00B665A7" w:rsidRDefault="00B665A7" w:rsidP="00F161F8">
            <w:r>
              <w:t>2.6%</w:t>
            </w:r>
          </w:p>
        </w:tc>
      </w:tr>
      <w:tr w:rsidR="00B665A7" w14:paraId="2193FE36" w14:textId="77777777" w:rsidTr="00F161F8">
        <w:tc>
          <w:tcPr>
            <w:tcW w:w="5130" w:type="dxa"/>
          </w:tcPr>
          <w:p w14:paraId="6289EEBC" w14:textId="77777777" w:rsidR="00B665A7" w:rsidRDefault="00B665A7" w:rsidP="00F161F8">
            <w:r>
              <w:t>Middle School Science 5-9</w:t>
            </w:r>
          </w:p>
        </w:tc>
        <w:tc>
          <w:tcPr>
            <w:tcW w:w="995" w:type="dxa"/>
          </w:tcPr>
          <w:p w14:paraId="60988D5E" w14:textId="77777777" w:rsidR="00B665A7" w:rsidRDefault="00B665A7" w:rsidP="00F161F8">
            <w:r>
              <w:t>2</w:t>
            </w:r>
          </w:p>
        </w:tc>
        <w:tc>
          <w:tcPr>
            <w:tcW w:w="1170" w:type="dxa"/>
          </w:tcPr>
          <w:p w14:paraId="57743EA4" w14:textId="77777777" w:rsidR="00B665A7" w:rsidRDefault="00B665A7" w:rsidP="00F161F8">
            <w:r>
              <w:t>5%</w:t>
            </w:r>
          </w:p>
        </w:tc>
      </w:tr>
      <w:tr w:rsidR="00B665A7" w14:paraId="76673B30" w14:textId="77777777" w:rsidTr="00F161F8">
        <w:tc>
          <w:tcPr>
            <w:tcW w:w="5130" w:type="dxa"/>
          </w:tcPr>
          <w:p w14:paraId="458C0EEC" w14:textId="77777777" w:rsidR="00B665A7" w:rsidRDefault="00B665A7" w:rsidP="00F161F8">
            <w:r>
              <w:t>Middle School Mathematics 5-9</w:t>
            </w:r>
          </w:p>
        </w:tc>
        <w:tc>
          <w:tcPr>
            <w:tcW w:w="995" w:type="dxa"/>
          </w:tcPr>
          <w:p w14:paraId="29253B25" w14:textId="77777777" w:rsidR="00B665A7" w:rsidRDefault="00B665A7" w:rsidP="00F161F8">
            <w:r>
              <w:t>2</w:t>
            </w:r>
          </w:p>
        </w:tc>
        <w:tc>
          <w:tcPr>
            <w:tcW w:w="1170" w:type="dxa"/>
          </w:tcPr>
          <w:p w14:paraId="145AB1E4" w14:textId="77777777" w:rsidR="00B665A7" w:rsidRDefault="00B665A7" w:rsidP="00F161F8">
            <w:r>
              <w:t>5%</w:t>
            </w:r>
          </w:p>
        </w:tc>
      </w:tr>
      <w:tr w:rsidR="00B665A7" w14:paraId="077D1943" w14:textId="77777777" w:rsidTr="00F161F8">
        <w:trPr>
          <w:trHeight w:val="70"/>
        </w:trPr>
        <w:tc>
          <w:tcPr>
            <w:tcW w:w="5130" w:type="dxa"/>
          </w:tcPr>
          <w:p w14:paraId="71568597" w14:textId="77777777" w:rsidR="00B665A7" w:rsidRDefault="00B665A7" w:rsidP="00F161F8">
            <w:r>
              <w:t>Middle School Social Studies 5-9</w:t>
            </w:r>
          </w:p>
        </w:tc>
        <w:tc>
          <w:tcPr>
            <w:tcW w:w="995" w:type="dxa"/>
          </w:tcPr>
          <w:p w14:paraId="1F4FD417" w14:textId="77777777" w:rsidR="00B665A7" w:rsidRDefault="00B665A7" w:rsidP="00F161F8">
            <w:r>
              <w:t>2</w:t>
            </w:r>
          </w:p>
        </w:tc>
        <w:tc>
          <w:tcPr>
            <w:tcW w:w="1170" w:type="dxa"/>
          </w:tcPr>
          <w:p w14:paraId="54882EED" w14:textId="77777777" w:rsidR="00B665A7" w:rsidRDefault="00B665A7" w:rsidP="00F161F8">
            <w:r>
              <w:t>5%</w:t>
            </w:r>
          </w:p>
        </w:tc>
      </w:tr>
      <w:tr w:rsidR="00B665A7" w14:paraId="5D12E0D5" w14:textId="77777777" w:rsidTr="00F161F8">
        <w:tc>
          <w:tcPr>
            <w:tcW w:w="5130" w:type="dxa"/>
          </w:tcPr>
          <w:p w14:paraId="653EC6AD" w14:textId="77777777" w:rsidR="00B665A7" w:rsidRDefault="00B665A7" w:rsidP="00F161F8">
            <w:r>
              <w:t>Biology 9-12</w:t>
            </w:r>
          </w:p>
        </w:tc>
        <w:tc>
          <w:tcPr>
            <w:tcW w:w="995" w:type="dxa"/>
          </w:tcPr>
          <w:p w14:paraId="3458C28D" w14:textId="77777777" w:rsidR="00B665A7" w:rsidRDefault="00B665A7" w:rsidP="00F161F8">
            <w:r>
              <w:t>1</w:t>
            </w:r>
          </w:p>
        </w:tc>
        <w:tc>
          <w:tcPr>
            <w:tcW w:w="1170" w:type="dxa"/>
          </w:tcPr>
          <w:p w14:paraId="4C2C5DAF" w14:textId="77777777" w:rsidR="00B665A7" w:rsidRDefault="00B665A7" w:rsidP="00F161F8">
            <w:r>
              <w:t>2.6%</w:t>
            </w:r>
          </w:p>
        </w:tc>
      </w:tr>
      <w:tr w:rsidR="00B665A7" w14:paraId="6CBA8A01" w14:textId="77777777" w:rsidTr="00F161F8">
        <w:tc>
          <w:tcPr>
            <w:tcW w:w="5130" w:type="dxa"/>
          </w:tcPr>
          <w:p w14:paraId="3848388D" w14:textId="77777777" w:rsidR="00B665A7" w:rsidRDefault="00B665A7" w:rsidP="00F161F8">
            <w:r>
              <w:t>English 9-12</w:t>
            </w:r>
          </w:p>
        </w:tc>
        <w:tc>
          <w:tcPr>
            <w:tcW w:w="995" w:type="dxa"/>
          </w:tcPr>
          <w:p w14:paraId="45AE45A6" w14:textId="77777777" w:rsidR="00B665A7" w:rsidRDefault="00B665A7" w:rsidP="00F161F8">
            <w:r>
              <w:t>1</w:t>
            </w:r>
          </w:p>
        </w:tc>
        <w:tc>
          <w:tcPr>
            <w:tcW w:w="1170" w:type="dxa"/>
          </w:tcPr>
          <w:p w14:paraId="49B2D5A2" w14:textId="77777777" w:rsidR="00B665A7" w:rsidRDefault="00B665A7" w:rsidP="00F161F8">
            <w:r>
              <w:t>2.6%</w:t>
            </w:r>
          </w:p>
        </w:tc>
      </w:tr>
      <w:tr w:rsidR="00B665A7" w14:paraId="636A330D" w14:textId="77777777" w:rsidTr="00F161F8">
        <w:tc>
          <w:tcPr>
            <w:tcW w:w="5130" w:type="dxa"/>
          </w:tcPr>
          <w:p w14:paraId="4B4D469E" w14:textId="77777777" w:rsidR="00B665A7" w:rsidRDefault="00B665A7" w:rsidP="00F161F8">
            <w:r>
              <w:t>Social Studies 9-12</w:t>
            </w:r>
          </w:p>
        </w:tc>
        <w:tc>
          <w:tcPr>
            <w:tcW w:w="995" w:type="dxa"/>
          </w:tcPr>
          <w:p w14:paraId="6E9AF7C8" w14:textId="77777777" w:rsidR="00B665A7" w:rsidRDefault="00B665A7" w:rsidP="00F161F8">
            <w:r>
              <w:t>5</w:t>
            </w:r>
          </w:p>
        </w:tc>
        <w:tc>
          <w:tcPr>
            <w:tcW w:w="1170" w:type="dxa"/>
          </w:tcPr>
          <w:p w14:paraId="4A20B26F" w14:textId="77777777" w:rsidR="00B665A7" w:rsidRDefault="00B665A7" w:rsidP="00F161F8">
            <w:r>
              <w:t>13%</w:t>
            </w:r>
          </w:p>
        </w:tc>
      </w:tr>
      <w:tr w:rsidR="00B665A7" w14:paraId="3DABF053" w14:textId="77777777" w:rsidTr="00F161F8">
        <w:tc>
          <w:tcPr>
            <w:tcW w:w="5130" w:type="dxa"/>
          </w:tcPr>
          <w:p w14:paraId="7C3554AF" w14:textId="77777777" w:rsidR="00B665A7" w:rsidRDefault="00B665A7" w:rsidP="00F161F8">
            <w:r>
              <w:t>Art K-12</w:t>
            </w:r>
          </w:p>
        </w:tc>
        <w:tc>
          <w:tcPr>
            <w:tcW w:w="995" w:type="dxa"/>
          </w:tcPr>
          <w:p w14:paraId="24FEAB0C" w14:textId="77777777" w:rsidR="00B665A7" w:rsidRDefault="00B665A7" w:rsidP="00F161F8">
            <w:r>
              <w:t>1</w:t>
            </w:r>
          </w:p>
        </w:tc>
        <w:tc>
          <w:tcPr>
            <w:tcW w:w="1170" w:type="dxa"/>
          </w:tcPr>
          <w:p w14:paraId="58F4AD5F" w14:textId="77777777" w:rsidR="00B665A7" w:rsidRDefault="00B665A7" w:rsidP="00F161F8">
            <w:r>
              <w:t>2.6%</w:t>
            </w:r>
          </w:p>
        </w:tc>
      </w:tr>
      <w:tr w:rsidR="00B665A7" w14:paraId="056ADCFA" w14:textId="77777777" w:rsidTr="00F161F8">
        <w:tc>
          <w:tcPr>
            <w:tcW w:w="5130" w:type="dxa"/>
          </w:tcPr>
          <w:p w14:paraId="082F7FB1" w14:textId="77777777" w:rsidR="00B665A7" w:rsidRDefault="00B665A7" w:rsidP="00F161F8">
            <w:r>
              <w:t>Music: Vocal K-12</w:t>
            </w:r>
          </w:p>
        </w:tc>
        <w:tc>
          <w:tcPr>
            <w:tcW w:w="995" w:type="dxa"/>
          </w:tcPr>
          <w:p w14:paraId="21424D1E" w14:textId="77777777" w:rsidR="00B665A7" w:rsidRDefault="00B665A7" w:rsidP="00F161F8">
            <w:r>
              <w:t>2</w:t>
            </w:r>
          </w:p>
        </w:tc>
        <w:tc>
          <w:tcPr>
            <w:tcW w:w="1170" w:type="dxa"/>
          </w:tcPr>
          <w:p w14:paraId="07954AFF" w14:textId="77777777" w:rsidR="00B665A7" w:rsidRDefault="00B665A7" w:rsidP="00F161F8">
            <w:r>
              <w:t>5%</w:t>
            </w:r>
          </w:p>
        </w:tc>
      </w:tr>
      <w:tr w:rsidR="00B665A7" w14:paraId="2227A724" w14:textId="77777777" w:rsidTr="00F161F8">
        <w:tc>
          <w:tcPr>
            <w:tcW w:w="5130" w:type="dxa"/>
          </w:tcPr>
          <w:p w14:paraId="6FAC091B" w14:textId="77777777" w:rsidR="00B665A7" w:rsidRDefault="00B665A7" w:rsidP="00F161F8">
            <w:r>
              <w:t>Music: Instrumental K-12</w:t>
            </w:r>
          </w:p>
        </w:tc>
        <w:tc>
          <w:tcPr>
            <w:tcW w:w="995" w:type="dxa"/>
          </w:tcPr>
          <w:p w14:paraId="35E64A0B" w14:textId="77777777" w:rsidR="00B665A7" w:rsidRDefault="00B665A7" w:rsidP="00F161F8">
            <w:r>
              <w:t>2</w:t>
            </w:r>
          </w:p>
        </w:tc>
        <w:tc>
          <w:tcPr>
            <w:tcW w:w="1170" w:type="dxa"/>
          </w:tcPr>
          <w:p w14:paraId="5EB35DF0" w14:textId="77777777" w:rsidR="00B665A7" w:rsidRDefault="00B665A7" w:rsidP="00F161F8">
            <w:r>
              <w:t xml:space="preserve">5% </w:t>
            </w:r>
          </w:p>
        </w:tc>
      </w:tr>
      <w:tr w:rsidR="00B665A7" w14:paraId="65F518FC" w14:textId="77777777" w:rsidTr="00F161F8">
        <w:tc>
          <w:tcPr>
            <w:tcW w:w="5130" w:type="dxa"/>
          </w:tcPr>
          <w:p w14:paraId="6643D995" w14:textId="77777777" w:rsidR="00B665A7" w:rsidRDefault="00B665A7" w:rsidP="00F161F8">
            <w:r>
              <w:t>Physical Education K-12</w:t>
            </w:r>
          </w:p>
        </w:tc>
        <w:tc>
          <w:tcPr>
            <w:tcW w:w="995" w:type="dxa"/>
          </w:tcPr>
          <w:p w14:paraId="53FF0A3C" w14:textId="77777777" w:rsidR="00B665A7" w:rsidRDefault="00B665A7" w:rsidP="00F161F8">
            <w:r>
              <w:t>4</w:t>
            </w:r>
          </w:p>
        </w:tc>
        <w:tc>
          <w:tcPr>
            <w:tcW w:w="1170" w:type="dxa"/>
          </w:tcPr>
          <w:p w14:paraId="7A388938" w14:textId="77777777" w:rsidR="00B665A7" w:rsidRDefault="00B665A7" w:rsidP="00F161F8">
            <w:r>
              <w:t>10.5%</w:t>
            </w:r>
          </w:p>
        </w:tc>
      </w:tr>
    </w:tbl>
    <w:p w14:paraId="0800EC3C" w14:textId="507C3C89" w:rsidR="00222E5C" w:rsidRDefault="00222E5C">
      <w:pPr>
        <w:rPr>
          <w:rFonts w:ascii="Times New Roman" w:hAnsi="Times New Roman" w:cs="Times New Roman"/>
          <w:b/>
          <w:bCs/>
          <w:sz w:val="28"/>
          <w:szCs w:val="28"/>
          <w:u w:val="single"/>
        </w:rPr>
      </w:pPr>
      <w:r w:rsidRPr="00C808F2">
        <w:rPr>
          <w:rFonts w:ascii="Times New Roman" w:hAnsi="Times New Roman" w:cs="Times New Roman"/>
          <w:b/>
          <w:bCs/>
          <w:sz w:val="28"/>
          <w:szCs w:val="28"/>
          <w:u w:val="single"/>
        </w:rPr>
        <w:t>Alumni Survey</w:t>
      </w:r>
    </w:p>
    <w:p w14:paraId="42EEF732" w14:textId="525B52DE" w:rsidR="00B665A7" w:rsidRPr="00F161F8" w:rsidRDefault="00EA3855" w:rsidP="00B665A7">
      <w:pPr>
        <w:pStyle w:val="NormalWeb"/>
        <w:rPr>
          <w:b/>
          <w:bCs/>
          <w:color w:val="000000"/>
        </w:rPr>
      </w:pPr>
      <w:r w:rsidRPr="00F161F8">
        <w:rPr>
          <w:b/>
          <w:bCs/>
          <w:color w:val="000000"/>
        </w:rPr>
        <w:t>Characteristics of Responding Teachers</w:t>
      </w:r>
      <w:r w:rsidR="001C32B9" w:rsidRPr="00F161F8">
        <w:rPr>
          <w:b/>
          <w:bCs/>
          <w:color w:val="000000"/>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275"/>
        <w:gridCol w:w="1080"/>
      </w:tblGrid>
      <w:tr w:rsidR="00170CF0" w14:paraId="3C4D9CBB" w14:textId="72AE54E9" w:rsidTr="00170CF0">
        <w:tc>
          <w:tcPr>
            <w:tcW w:w="1870" w:type="dxa"/>
          </w:tcPr>
          <w:p w14:paraId="2950C7F6" w14:textId="77777777" w:rsidR="00170CF0" w:rsidRPr="00B21365" w:rsidRDefault="00170CF0" w:rsidP="00170CF0">
            <w:pPr>
              <w:rPr>
                <w:b/>
                <w:bCs/>
              </w:rPr>
            </w:pPr>
            <w:r w:rsidRPr="00B21365">
              <w:rPr>
                <w:b/>
                <w:bCs/>
              </w:rPr>
              <w:t>Ethnicity</w:t>
            </w:r>
          </w:p>
        </w:tc>
        <w:tc>
          <w:tcPr>
            <w:tcW w:w="1275" w:type="dxa"/>
          </w:tcPr>
          <w:p w14:paraId="67AB93AF" w14:textId="2D1C3341" w:rsidR="00170CF0" w:rsidRPr="00B21365" w:rsidRDefault="00170CF0" w:rsidP="00170CF0">
            <w:pPr>
              <w:rPr>
                <w:b/>
                <w:bCs/>
              </w:rPr>
            </w:pPr>
            <w:r w:rsidRPr="00B21365">
              <w:rPr>
                <w:b/>
                <w:bCs/>
              </w:rPr>
              <w:t>Count</w:t>
            </w:r>
            <w:r>
              <w:rPr>
                <w:b/>
                <w:bCs/>
              </w:rPr>
              <w:t xml:space="preserve"> N</w:t>
            </w:r>
            <w:r w:rsidR="00B665A7">
              <w:rPr>
                <w:b/>
                <w:bCs/>
              </w:rPr>
              <w:t>=41</w:t>
            </w:r>
          </w:p>
        </w:tc>
        <w:tc>
          <w:tcPr>
            <w:tcW w:w="1080" w:type="dxa"/>
          </w:tcPr>
          <w:p w14:paraId="24FC61F6" w14:textId="1FE3328A" w:rsidR="00170CF0" w:rsidRPr="00170CF0" w:rsidRDefault="00170CF0" w:rsidP="00170CF0">
            <w:pPr>
              <w:rPr>
                <w:b/>
                <w:bCs/>
              </w:rPr>
            </w:pPr>
            <w:r w:rsidRPr="00170CF0">
              <w:rPr>
                <w:b/>
                <w:bCs/>
              </w:rPr>
              <w:t>Percent</w:t>
            </w:r>
          </w:p>
        </w:tc>
      </w:tr>
      <w:tr w:rsidR="00170CF0" w14:paraId="55D7343C" w14:textId="059074DC" w:rsidTr="00170CF0">
        <w:tc>
          <w:tcPr>
            <w:tcW w:w="1870" w:type="dxa"/>
          </w:tcPr>
          <w:p w14:paraId="08828AF4" w14:textId="77777777" w:rsidR="00170CF0" w:rsidRDefault="00170CF0" w:rsidP="00170CF0">
            <w:r>
              <w:t>Black or African American</w:t>
            </w:r>
          </w:p>
        </w:tc>
        <w:tc>
          <w:tcPr>
            <w:tcW w:w="1275" w:type="dxa"/>
          </w:tcPr>
          <w:p w14:paraId="4F38EC89" w14:textId="77777777" w:rsidR="00170CF0" w:rsidRDefault="00170CF0" w:rsidP="00170CF0">
            <w:r>
              <w:t xml:space="preserve">6 </w:t>
            </w:r>
          </w:p>
        </w:tc>
        <w:tc>
          <w:tcPr>
            <w:tcW w:w="1080" w:type="dxa"/>
          </w:tcPr>
          <w:p w14:paraId="11DFC519" w14:textId="7102FD2F" w:rsidR="00170CF0" w:rsidRDefault="00170CF0" w:rsidP="00170CF0">
            <w:r w:rsidRPr="00181B04">
              <w:t>15%</w:t>
            </w:r>
          </w:p>
        </w:tc>
      </w:tr>
      <w:tr w:rsidR="00170CF0" w14:paraId="351B507F" w14:textId="3D28E4AD" w:rsidTr="00170CF0">
        <w:tc>
          <w:tcPr>
            <w:tcW w:w="1870" w:type="dxa"/>
          </w:tcPr>
          <w:p w14:paraId="3BFBD44A" w14:textId="77777777" w:rsidR="00170CF0" w:rsidRDefault="00170CF0" w:rsidP="00170CF0">
            <w:r>
              <w:t>Hispanic or Latino</w:t>
            </w:r>
          </w:p>
        </w:tc>
        <w:tc>
          <w:tcPr>
            <w:tcW w:w="1275" w:type="dxa"/>
          </w:tcPr>
          <w:p w14:paraId="2E1D4CE2" w14:textId="77777777" w:rsidR="00170CF0" w:rsidRDefault="00170CF0" w:rsidP="00170CF0">
            <w:r>
              <w:t>1</w:t>
            </w:r>
          </w:p>
        </w:tc>
        <w:tc>
          <w:tcPr>
            <w:tcW w:w="1080" w:type="dxa"/>
          </w:tcPr>
          <w:p w14:paraId="64D98DCC" w14:textId="1AB7D855" w:rsidR="00170CF0" w:rsidRDefault="00170CF0" w:rsidP="00170CF0">
            <w:r w:rsidRPr="00181B04">
              <w:t>2%</w:t>
            </w:r>
          </w:p>
        </w:tc>
      </w:tr>
      <w:tr w:rsidR="00170CF0" w14:paraId="5825FA59" w14:textId="5710DE29" w:rsidTr="00170CF0">
        <w:tc>
          <w:tcPr>
            <w:tcW w:w="1870" w:type="dxa"/>
          </w:tcPr>
          <w:p w14:paraId="73EBDC2B" w14:textId="77777777" w:rsidR="00170CF0" w:rsidRDefault="00170CF0" w:rsidP="00170CF0">
            <w:r>
              <w:t>White</w:t>
            </w:r>
          </w:p>
        </w:tc>
        <w:tc>
          <w:tcPr>
            <w:tcW w:w="1275" w:type="dxa"/>
          </w:tcPr>
          <w:p w14:paraId="1D36BE0F" w14:textId="77777777" w:rsidR="00170CF0" w:rsidRDefault="00170CF0" w:rsidP="00170CF0">
            <w:r>
              <w:t>33</w:t>
            </w:r>
          </w:p>
        </w:tc>
        <w:tc>
          <w:tcPr>
            <w:tcW w:w="1080" w:type="dxa"/>
          </w:tcPr>
          <w:p w14:paraId="3D27B4EB" w14:textId="19F2E9DB" w:rsidR="00170CF0" w:rsidRDefault="00170CF0" w:rsidP="00170CF0">
            <w:r w:rsidRPr="00181B04">
              <w:t>80%</w:t>
            </w:r>
          </w:p>
        </w:tc>
      </w:tr>
      <w:tr w:rsidR="00170CF0" w14:paraId="288BDF33" w14:textId="5FFDFF11" w:rsidTr="00170CF0">
        <w:tc>
          <w:tcPr>
            <w:tcW w:w="1870" w:type="dxa"/>
          </w:tcPr>
          <w:p w14:paraId="44020B50" w14:textId="77777777" w:rsidR="00170CF0" w:rsidRDefault="00170CF0" w:rsidP="00170CF0">
            <w:r>
              <w:t xml:space="preserve"> Other</w:t>
            </w:r>
          </w:p>
        </w:tc>
        <w:tc>
          <w:tcPr>
            <w:tcW w:w="1275" w:type="dxa"/>
          </w:tcPr>
          <w:p w14:paraId="3F653415" w14:textId="77777777" w:rsidR="00170CF0" w:rsidRDefault="00170CF0" w:rsidP="00170CF0">
            <w:r>
              <w:t>1</w:t>
            </w:r>
          </w:p>
        </w:tc>
        <w:tc>
          <w:tcPr>
            <w:tcW w:w="1080" w:type="dxa"/>
          </w:tcPr>
          <w:p w14:paraId="2E2F27E3" w14:textId="17023A26" w:rsidR="00170CF0" w:rsidRDefault="00170CF0" w:rsidP="00170CF0">
            <w:r w:rsidRPr="00181B04">
              <w:t>2%</w:t>
            </w:r>
          </w:p>
        </w:tc>
      </w:tr>
    </w:tbl>
    <w:p w14:paraId="1351D19B" w14:textId="77777777" w:rsidR="0015641E" w:rsidRDefault="00A06A8C" w:rsidP="00222E5C">
      <w:pPr>
        <w:pStyle w:val="NormalWeb"/>
        <w:rPr>
          <w:color w:val="000000"/>
        </w:rPr>
      </w:pPr>
      <w:r>
        <w:rPr>
          <w:color w:val="000000"/>
        </w:rPr>
        <w:t xml:space="preserve">   </w:t>
      </w:r>
    </w:p>
    <w:p w14:paraId="7A2C167D" w14:textId="16DF65D1" w:rsidR="00AE5F92" w:rsidRDefault="00AE5F92" w:rsidP="00222E5C">
      <w:pPr>
        <w:pStyle w:val="NormalWeb"/>
        <w:rPr>
          <w:color w:val="000000"/>
        </w:rPr>
      </w:pPr>
    </w:p>
    <w:p w14:paraId="1FEE11A7" w14:textId="39739517" w:rsidR="00EA3855" w:rsidRDefault="00AE5F92" w:rsidP="00222E5C">
      <w:pPr>
        <w:pStyle w:val="NormalWeb"/>
        <w:rPr>
          <w:color w:val="000000"/>
        </w:rPr>
      </w:pPr>
      <w:r>
        <w:rPr>
          <w:color w:val="000000"/>
        </w:rPr>
        <w:tab/>
      </w:r>
      <w:r>
        <w:rPr>
          <w:color w:val="000000"/>
        </w:rPr>
        <w:tab/>
      </w:r>
    </w:p>
    <w:p w14:paraId="17B06CE1" w14:textId="77777777" w:rsidR="00AE5F92" w:rsidRDefault="00AE5F92" w:rsidP="00222E5C">
      <w:pPr>
        <w:pStyle w:val="NormalWeb"/>
        <w:rPr>
          <w:color w:val="000000"/>
        </w:rPr>
      </w:pPr>
    </w:p>
    <w:p w14:paraId="4E9E5D6D" w14:textId="77777777" w:rsidR="00AE5F92" w:rsidRDefault="00AE5F92" w:rsidP="00222E5C">
      <w:pPr>
        <w:pStyle w:val="NormalWeb"/>
        <w:rPr>
          <w:color w:val="000000"/>
        </w:rPr>
      </w:pPr>
    </w:p>
    <w:tbl>
      <w:tblPr>
        <w:tblStyle w:val="TableGrid"/>
        <w:tblpPr w:leftFromText="180" w:rightFromText="180" w:vertAnchor="page" w:horzAnchor="margin" w:tblpY="9001"/>
        <w:tblW w:w="0" w:type="auto"/>
        <w:tblLook w:val="04A0" w:firstRow="1" w:lastRow="0" w:firstColumn="1" w:lastColumn="0" w:noHBand="0" w:noVBand="1"/>
      </w:tblPr>
      <w:tblGrid>
        <w:gridCol w:w="1885"/>
        <w:gridCol w:w="1260"/>
        <w:gridCol w:w="1080"/>
      </w:tblGrid>
      <w:tr w:rsidR="00F161F8" w:rsidRPr="00B21365" w14:paraId="0E635691" w14:textId="77777777" w:rsidTr="00F161F8">
        <w:tc>
          <w:tcPr>
            <w:tcW w:w="1885" w:type="dxa"/>
          </w:tcPr>
          <w:p w14:paraId="1A6B132A" w14:textId="77777777" w:rsidR="00F161F8" w:rsidRPr="00B21365" w:rsidRDefault="00F161F8" w:rsidP="00F161F8">
            <w:pPr>
              <w:rPr>
                <w:b/>
                <w:bCs/>
              </w:rPr>
            </w:pPr>
            <w:r w:rsidRPr="00B21365">
              <w:rPr>
                <w:b/>
                <w:bCs/>
              </w:rPr>
              <w:t>Gender</w:t>
            </w:r>
          </w:p>
        </w:tc>
        <w:tc>
          <w:tcPr>
            <w:tcW w:w="1260" w:type="dxa"/>
          </w:tcPr>
          <w:p w14:paraId="18CAE91C" w14:textId="77777777" w:rsidR="00F161F8" w:rsidRPr="00B21365" w:rsidRDefault="00F161F8" w:rsidP="00F161F8">
            <w:pPr>
              <w:rPr>
                <w:b/>
                <w:bCs/>
              </w:rPr>
            </w:pPr>
            <w:r w:rsidRPr="00170CF0">
              <w:rPr>
                <w:b/>
                <w:bCs/>
              </w:rPr>
              <w:t>Count</w:t>
            </w:r>
          </w:p>
        </w:tc>
        <w:tc>
          <w:tcPr>
            <w:tcW w:w="1080" w:type="dxa"/>
          </w:tcPr>
          <w:p w14:paraId="3B5D8926" w14:textId="77777777" w:rsidR="00F161F8" w:rsidRPr="00B21365" w:rsidRDefault="00F161F8" w:rsidP="00F161F8">
            <w:pPr>
              <w:rPr>
                <w:b/>
                <w:bCs/>
              </w:rPr>
            </w:pPr>
            <w:r w:rsidRPr="00B21365">
              <w:rPr>
                <w:b/>
                <w:bCs/>
              </w:rPr>
              <w:t>Percen</w:t>
            </w:r>
            <w:r>
              <w:rPr>
                <w:b/>
                <w:bCs/>
              </w:rPr>
              <w:t>t</w:t>
            </w:r>
          </w:p>
        </w:tc>
      </w:tr>
      <w:tr w:rsidR="00F161F8" w14:paraId="3F9DFE8E" w14:textId="77777777" w:rsidTr="00F161F8">
        <w:tc>
          <w:tcPr>
            <w:tcW w:w="1885" w:type="dxa"/>
          </w:tcPr>
          <w:p w14:paraId="13FCB166" w14:textId="77777777" w:rsidR="00F161F8" w:rsidRDefault="00F161F8" w:rsidP="00F161F8">
            <w:r>
              <w:t>Male</w:t>
            </w:r>
          </w:p>
        </w:tc>
        <w:tc>
          <w:tcPr>
            <w:tcW w:w="1260" w:type="dxa"/>
          </w:tcPr>
          <w:p w14:paraId="602E5CC9" w14:textId="77777777" w:rsidR="00F161F8" w:rsidRDefault="00F161F8" w:rsidP="00F161F8">
            <w:r>
              <w:t>9</w:t>
            </w:r>
          </w:p>
        </w:tc>
        <w:tc>
          <w:tcPr>
            <w:tcW w:w="1080" w:type="dxa"/>
          </w:tcPr>
          <w:p w14:paraId="6DAA76D7" w14:textId="77777777" w:rsidR="00F161F8" w:rsidRDefault="00F161F8" w:rsidP="00F161F8">
            <w:r>
              <w:t>22%</w:t>
            </w:r>
          </w:p>
        </w:tc>
      </w:tr>
      <w:tr w:rsidR="00F161F8" w14:paraId="562C3EA0" w14:textId="77777777" w:rsidTr="00F161F8">
        <w:tc>
          <w:tcPr>
            <w:tcW w:w="1885" w:type="dxa"/>
          </w:tcPr>
          <w:p w14:paraId="2B3B6F85" w14:textId="77777777" w:rsidR="00F161F8" w:rsidRDefault="00F161F8" w:rsidP="00F161F8">
            <w:r>
              <w:t>Female</w:t>
            </w:r>
          </w:p>
        </w:tc>
        <w:tc>
          <w:tcPr>
            <w:tcW w:w="1260" w:type="dxa"/>
          </w:tcPr>
          <w:p w14:paraId="2232044E" w14:textId="77777777" w:rsidR="00F161F8" w:rsidRDefault="00F161F8" w:rsidP="00F161F8">
            <w:r>
              <w:t>31</w:t>
            </w:r>
          </w:p>
        </w:tc>
        <w:tc>
          <w:tcPr>
            <w:tcW w:w="1080" w:type="dxa"/>
          </w:tcPr>
          <w:p w14:paraId="73DBE6A5" w14:textId="77777777" w:rsidR="00F161F8" w:rsidRDefault="00F161F8" w:rsidP="00F161F8">
            <w:r>
              <w:t>76%</w:t>
            </w:r>
          </w:p>
        </w:tc>
      </w:tr>
      <w:tr w:rsidR="00F161F8" w14:paraId="10DCFFC9" w14:textId="77777777" w:rsidTr="00F161F8">
        <w:tc>
          <w:tcPr>
            <w:tcW w:w="1885" w:type="dxa"/>
          </w:tcPr>
          <w:p w14:paraId="7A6B7589" w14:textId="77777777" w:rsidR="00F161F8" w:rsidRDefault="00F161F8" w:rsidP="00F161F8">
            <w:r>
              <w:t>Prefer not to say</w:t>
            </w:r>
          </w:p>
        </w:tc>
        <w:tc>
          <w:tcPr>
            <w:tcW w:w="1260" w:type="dxa"/>
          </w:tcPr>
          <w:p w14:paraId="0788FAD0" w14:textId="77777777" w:rsidR="00F161F8" w:rsidRDefault="00F161F8" w:rsidP="00F161F8">
            <w:r>
              <w:t>1</w:t>
            </w:r>
          </w:p>
        </w:tc>
        <w:tc>
          <w:tcPr>
            <w:tcW w:w="1080" w:type="dxa"/>
          </w:tcPr>
          <w:p w14:paraId="2D0AC2B9" w14:textId="77777777" w:rsidR="00F161F8" w:rsidRDefault="00F161F8" w:rsidP="00F161F8">
            <w:r>
              <w:t>2%</w:t>
            </w:r>
          </w:p>
        </w:tc>
      </w:tr>
    </w:tbl>
    <w:p w14:paraId="50084580" w14:textId="77777777" w:rsidR="00AE5F92" w:rsidRDefault="00AE5F92" w:rsidP="00222E5C">
      <w:pPr>
        <w:pStyle w:val="NormalWeb"/>
        <w:rPr>
          <w:color w:val="000000"/>
        </w:rPr>
      </w:pPr>
    </w:p>
    <w:p w14:paraId="22B537C8" w14:textId="77777777" w:rsidR="00AE5F92" w:rsidRDefault="00AE5F92" w:rsidP="00222E5C">
      <w:pPr>
        <w:pStyle w:val="NormalWeb"/>
        <w:rPr>
          <w:color w:val="000000"/>
        </w:rPr>
      </w:pPr>
    </w:p>
    <w:p w14:paraId="365534A1" w14:textId="77777777" w:rsidR="00D27D2B" w:rsidRDefault="00D27D2B" w:rsidP="00222E5C">
      <w:pPr>
        <w:pStyle w:val="NormalWeb"/>
        <w:rPr>
          <w:color w:val="000000"/>
        </w:rPr>
      </w:pPr>
    </w:p>
    <w:p w14:paraId="3DA18D7A" w14:textId="56A3B869" w:rsidR="00222E5C" w:rsidRDefault="00222E5C" w:rsidP="00222E5C">
      <w:pPr>
        <w:pStyle w:val="NormalWeb"/>
        <w:rPr>
          <w:color w:val="000000"/>
        </w:rPr>
      </w:pPr>
      <w:r w:rsidRPr="00222E5C">
        <w:rPr>
          <w:color w:val="000000"/>
        </w:rPr>
        <w:lastRenderedPageBreak/>
        <w:t xml:space="preserve">Alumni rated the overall quality of their educator preparation program positively. Based on a 5-point scale (5=Very Good Quality; 4=Good Quality; 3=Neutral Quality; 2=Somewhat Poor Quality; 1=Poor Quality), </w:t>
      </w:r>
      <w:r w:rsidR="00B9272B">
        <w:rPr>
          <w:color w:val="000000"/>
        </w:rPr>
        <w:t xml:space="preserve">most </w:t>
      </w:r>
      <w:r w:rsidR="00B9272B" w:rsidRPr="00222E5C">
        <w:rPr>
          <w:color w:val="000000"/>
        </w:rPr>
        <w:t>respondents</w:t>
      </w:r>
      <w:r w:rsidR="00B9272B">
        <w:rPr>
          <w:color w:val="000000"/>
        </w:rPr>
        <w:t xml:space="preserve"> </w:t>
      </w:r>
      <w:r w:rsidR="00B9272B" w:rsidRPr="00222E5C">
        <w:rPr>
          <w:color w:val="000000"/>
        </w:rPr>
        <w:t>rated</w:t>
      </w:r>
      <w:r w:rsidRPr="00222E5C">
        <w:rPr>
          <w:color w:val="000000"/>
        </w:rPr>
        <w:t xml:space="preserve"> the program as "Good Quality" or "Very Good Quality"</w:t>
      </w:r>
      <w:r w:rsidR="00B9272B">
        <w:rPr>
          <w:color w:val="000000"/>
        </w:rPr>
        <w:t>.</w:t>
      </w:r>
    </w:p>
    <w:tbl>
      <w:tblPr>
        <w:tblStyle w:val="TableGrid"/>
        <w:tblW w:w="0" w:type="auto"/>
        <w:tblInd w:w="850" w:type="dxa"/>
        <w:tblLook w:val="04A0" w:firstRow="1" w:lastRow="0" w:firstColumn="1" w:lastColumn="0" w:noHBand="0" w:noVBand="1"/>
      </w:tblPr>
      <w:tblGrid>
        <w:gridCol w:w="3055"/>
        <w:gridCol w:w="4505"/>
      </w:tblGrid>
      <w:tr w:rsidR="00253ED2" w14:paraId="53130809" w14:textId="77777777" w:rsidTr="00B9272B">
        <w:tc>
          <w:tcPr>
            <w:tcW w:w="3055" w:type="dxa"/>
          </w:tcPr>
          <w:p w14:paraId="47499AD5" w14:textId="77777777" w:rsidR="00253ED2" w:rsidRPr="00514603" w:rsidRDefault="00253ED2" w:rsidP="003C4AF6">
            <w:pPr>
              <w:jc w:val="center"/>
              <w:rPr>
                <w:rFonts w:ascii="Times New Roman" w:hAnsi="Times New Roman" w:cs="Times New Roman"/>
              </w:rPr>
            </w:pPr>
            <w:r w:rsidRPr="00514603">
              <w:rPr>
                <w:rFonts w:ascii="Times New Roman" w:hAnsi="Times New Roman" w:cs="Times New Roman"/>
              </w:rPr>
              <w:t>N=26</w:t>
            </w:r>
          </w:p>
        </w:tc>
        <w:tc>
          <w:tcPr>
            <w:tcW w:w="4505" w:type="dxa"/>
          </w:tcPr>
          <w:p w14:paraId="6DC5A9E1" w14:textId="77777777" w:rsidR="00253ED2" w:rsidRPr="00514603" w:rsidRDefault="00253ED2" w:rsidP="003C4AF6">
            <w:pPr>
              <w:jc w:val="center"/>
              <w:rPr>
                <w:rFonts w:ascii="Times New Roman" w:hAnsi="Times New Roman" w:cs="Times New Roman"/>
              </w:rPr>
            </w:pPr>
            <w:r w:rsidRPr="00514603">
              <w:rPr>
                <w:rFonts w:ascii="Times New Roman" w:hAnsi="Times New Roman" w:cs="Times New Roman"/>
              </w:rPr>
              <w:t>Overall Quality of Educator Prep</w:t>
            </w:r>
          </w:p>
        </w:tc>
      </w:tr>
      <w:tr w:rsidR="00253ED2" w14:paraId="72A0ABBC" w14:textId="77777777" w:rsidTr="00B9272B">
        <w:tc>
          <w:tcPr>
            <w:tcW w:w="3055" w:type="dxa"/>
          </w:tcPr>
          <w:p w14:paraId="1C281F4F" w14:textId="77777777" w:rsidR="00253ED2" w:rsidRPr="00514603" w:rsidRDefault="00253ED2" w:rsidP="003C4AF6">
            <w:pPr>
              <w:rPr>
                <w:rFonts w:ascii="Times New Roman" w:hAnsi="Times New Roman" w:cs="Times New Roman"/>
              </w:rPr>
            </w:pPr>
            <w:r w:rsidRPr="00514603">
              <w:rPr>
                <w:rFonts w:ascii="Times New Roman" w:hAnsi="Times New Roman" w:cs="Times New Roman"/>
              </w:rPr>
              <w:t>5 – Very Good Quality</w:t>
            </w:r>
          </w:p>
        </w:tc>
        <w:tc>
          <w:tcPr>
            <w:tcW w:w="4505" w:type="dxa"/>
          </w:tcPr>
          <w:p w14:paraId="4A45CB9A" w14:textId="6572E459" w:rsidR="00253ED2" w:rsidRPr="00514603" w:rsidRDefault="00996FD6" w:rsidP="003C4AF6">
            <w:pPr>
              <w:jc w:val="center"/>
              <w:rPr>
                <w:rFonts w:ascii="Times New Roman" w:hAnsi="Times New Roman" w:cs="Times New Roman"/>
              </w:rPr>
            </w:pPr>
            <w:r>
              <w:rPr>
                <w:rFonts w:ascii="Times New Roman" w:hAnsi="Times New Roman" w:cs="Times New Roman"/>
              </w:rPr>
              <w:t xml:space="preserve"> 23%</w:t>
            </w:r>
          </w:p>
        </w:tc>
      </w:tr>
      <w:tr w:rsidR="00253ED2" w14:paraId="41CC40B0" w14:textId="77777777" w:rsidTr="00B9272B">
        <w:tc>
          <w:tcPr>
            <w:tcW w:w="3055" w:type="dxa"/>
          </w:tcPr>
          <w:p w14:paraId="18E92E81" w14:textId="77777777" w:rsidR="00253ED2" w:rsidRPr="00514603" w:rsidRDefault="00253ED2" w:rsidP="003C4AF6">
            <w:pPr>
              <w:rPr>
                <w:rFonts w:ascii="Times New Roman" w:hAnsi="Times New Roman" w:cs="Times New Roman"/>
              </w:rPr>
            </w:pPr>
            <w:r w:rsidRPr="00514603">
              <w:rPr>
                <w:rFonts w:ascii="Times New Roman" w:hAnsi="Times New Roman" w:cs="Times New Roman"/>
              </w:rPr>
              <w:t>4 – Good Quality</w:t>
            </w:r>
          </w:p>
        </w:tc>
        <w:tc>
          <w:tcPr>
            <w:tcW w:w="4505" w:type="dxa"/>
          </w:tcPr>
          <w:p w14:paraId="44A9D139" w14:textId="1100A448" w:rsidR="00253ED2" w:rsidRPr="00514603" w:rsidRDefault="002E05AE" w:rsidP="003C4AF6">
            <w:pPr>
              <w:jc w:val="center"/>
              <w:rPr>
                <w:rFonts w:ascii="Times New Roman" w:hAnsi="Times New Roman" w:cs="Times New Roman"/>
              </w:rPr>
            </w:pPr>
            <w:r>
              <w:rPr>
                <w:rFonts w:ascii="Times New Roman" w:hAnsi="Times New Roman" w:cs="Times New Roman"/>
              </w:rPr>
              <w:t>38.5%</w:t>
            </w:r>
          </w:p>
        </w:tc>
      </w:tr>
      <w:tr w:rsidR="00253ED2" w14:paraId="1F31B5B7" w14:textId="77777777" w:rsidTr="00B9272B">
        <w:trPr>
          <w:trHeight w:val="70"/>
        </w:trPr>
        <w:tc>
          <w:tcPr>
            <w:tcW w:w="3055" w:type="dxa"/>
          </w:tcPr>
          <w:p w14:paraId="53DA76A1" w14:textId="77777777" w:rsidR="00253ED2" w:rsidRPr="00514603" w:rsidRDefault="00253ED2" w:rsidP="003C4AF6">
            <w:pPr>
              <w:rPr>
                <w:rFonts w:ascii="Times New Roman" w:hAnsi="Times New Roman" w:cs="Times New Roman"/>
              </w:rPr>
            </w:pPr>
            <w:r w:rsidRPr="00514603">
              <w:rPr>
                <w:rFonts w:ascii="Times New Roman" w:hAnsi="Times New Roman" w:cs="Times New Roman"/>
              </w:rPr>
              <w:t>3 – Neutral Quality</w:t>
            </w:r>
          </w:p>
        </w:tc>
        <w:tc>
          <w:tcPr>
            <w:tcW w:w="4505" w:type="dxa"/>
          </w:tcPr>
          <w:p w14:paraId="7F05DE65" w14:textId="4511BBE0" w:rsidR="00253ED2" w:rsidRPr="00514603" w:rsidRDefault="005C7825" w:rsidP="003C4AF6">
            <w:pPr>
              <w:jc w:val="center"/>
              <w:rPr>
                <w:rFonts w:ascii="Times New Roman" w:hAnsi="Times New Roman" w:cs="Times New Roman"/>
              </w:rPr>
            </w:pPr>
            <w:r>
              <w:rPr>
                <w:rFonts w:ascii="Times New Roman" w:hAnsi="Times New Roman" w:cs="Times New Roman"/>
              </w:rPr>
              <w:t>31%</w:t>
            </w:r>
          </w:p>
        </w:tc>
      </w:tr>
      <w:tr w:rsidR="00253ED2" w14:paraId="49CE460E" w14:textId="77777777" w:rsidTr="00B9272B">
        <w:tc>
          <w:tcPr>
            <w:tcW w:w="3055" w:type="dxa"/>
          </w:tcPr>
          <w:p w14:paraId="5114EC0B" w14:textId="77777777" w:rsidR="00253ED2" w:rsidRPr="00514603" w:rsidRDefault="00253ED2" w:rsidP="003C4AF6">
            <w:pPr>
              <w:rPr>
                <w:rFonts w:ascii="Times New Roman" w:hAnsi="Times New Roman" w:cs="Times New Roman"/>
              </w:rPr>
            </w:pPr>
            <w:r w:rsidRPr="00514603">
              <w:rPr>
                <w:rFonts w:ascii="Times New Roman" w:hAnsi="Times New Roman" w:cs="Times New Roman"/>
              </w:rPr>
              <w:t>2 – Somewhat Poor Quality</w:t>
            </w:r>
          </w:p>
        </w:tc>
        <w:tc>
          <w:tcPr>
            <w:tcW w:w="4505" w:type="dxa"/>
          </w:tcPr>
          <w:p w14:paraId="2AB0558A" w14:textId="7D612A72" w:rsidR="00253ED2" w:rsidRPr="00514603" w:rsidRDefault="005C7825" w:rsidP="003C4AF6">
            <w:pPr>
              <w:jc w:val="center"/>
              <w:rPr>
                <w:rFonts w:ascii="Times New Roman" w:hAnsi="Times New Roman" w:cs="Times New Roman"/>
              </w:rPr>
            </w:pPr>
            <w:r>
              <w:rPr>
                <w:rFonts w:ascii="Times New Roman" w:hAnsi="Times New Roman" w:cs="Times New Roman"/>
              </w:rPr>
              <w:t>3%</w:t>
            </w:r>
          </w:p>
        </w:tc>
      </w:tr>
      <w:tr w:rsidR="00253ED2" w14:paraId="3988D1FA" w14:textId="77777777" w:rsidTr="00B9272B">
        <w:tc>
          <w:tcPr>
            <w:tcW w:w="3055" w:type="dxa"/>
          </w:tcPr>
          <w:p w14:paraId="09626666" w14:textId="4F41952E" w:rsidR="00253ED2" w:rsidRPr="00514603" w:rsidRDefault="00253ED2" w:rsidP="003C4AF6">
            <w:pPr>
              <w:rPr>
                <w:rFonts w:ascii="Times New Roman" w:hAnsi="Times New Roman" w:cs="Times New Roman"/>
              </w:rPr>
            </w:pPr>
            <w:r w:rsidRPr="00514603">
              <w:rPr>
                <w:rFonts w:ascii="Times New Roman" w:hAnsi="Times New Roman" w:cs="Times New Roman"/>
              </w:rPr>
              <w:t>1 – Poor Quality</w:t>
            </w:r>
          </w:p>
        </w:tc>
        <w:tc>
          <w:tcPr>
            <w:tcW w:w="4505" w:type="dxa"/>
          </w:tcPr>
          <w:p w14:paraId="1EFF0C55" w14:textId="7DBFA3B1" w:rsidR="00253ED2" w:rsidRPr="00514603" w:rsidRDefault="005C7825" w:rsidP="003C4AF6">
            <w:pPr>
              <w:jc w:val="center"/>
              <w:rPr>
                <w:rFonts w:ascii="Times New Roman" w:hAnsi="Times New Roman" w:cs="Times New Roman"/>
              </w:rPr>
            </w:pPr>
            <w:r>
              <w:rPr>
                <w:rFonts w:ascii="Times New Roman" w:hAnsi="Times New Roman" w:cs="Times New Roman"/>
              </w:rPr>
              <w:t>3%</w:t>
            </w:r>
          </w:p>
        </w:tc>
      </w:tr>
    </w:tbl>
    <w:p w14:paraId="79BD5217" w14:textId="2324135B" w:rsidR="00222E5C" w:rsidRDefault="00222E5C" w:rsidP="00222E5C">
      <w:pPr>
        <w:pStyle w:val="NormalWeb"/>
        <w:rPr>
          <w:color w:val="000000"/>
        </w:rPr>
      </w:pPr>
      <w:r w:rsidRPr="00222E5C">
        <w:rPr>
          <w:color w:val="000000"/>
        </w:rPr>
        <w:t>When asked to rate their teaching effectiveness on a 5-point scale (5=Very Effective; 4=Effective; 3=Moderately Effective; 2=Somewhat Effective; 1=Not Very Effective), most Alumni respondents rated themselves as "Effective" or "Very Effective." Similarly, graduates reported strong confidence in their positive impact on P-12 learners.</w:t>
      </w:r>
    </w:p>
    <w:tbl>
      <w:tblPr>
        <w:tblStyle w:val="TableGrid"/>
        <w:tblW w:w="0" w:type="auto"/>
        <w:tblInd w:w="715" w:type="dxa"/>
        <w:tblLook w:val="04A0" w:firstRow="1" w:lastRow="0" w:firstColumn="1" w:lastColumn="0" w:noHBand="0" w:noVBand="1"/>
      </w:tblPr>
      <w:tblGrid>
        <w:gridCol w:w="2695"/>
        <w:gridCol w:w="2610"/>
        <w:gridCol w:w="3600"/>
      </w:tblGrid>
      <w:tr w:rsidR="00275F73" w14:paraId="2E28B9F5" w14:textId="77777777" w:rsidTr="00B9272B">
        <w:tc>
          <w:tcPr>
            <w:tcW w:w="2695" w:type="dxa"/>
          </w:tcPr>
          <w:p w14:paraId="47694150" w14:textId="77777777" w:rsidR="00275F73" w:rsidRPr="00514603" w:rsidRDefault="00275F73" w:rsidP="003C4AF6">
            <w:pPr>
              <w:jc w:val="center"/>
              <w:rPr>
                <w:rFonts w:ascii="Times New Roman" w:hAnsi="Times New Roman" w:cs="Times New Roman"/>
              </w:rPr>
            </w:pPr>
            <w:r w:rsidRPr="00514603">
              <w:rPr>
                <w:rFonts w:ascii="Times New Roman" w:hAnsi="Times New Roman" w:cs="Times New Roman"/>
              </w:rPr>
              <w:t>N=31</w:t>
            </w:r>
          </w:p>
        </w:tc>
        <w:tc>
          <w:tcPr>
            <w:tcW w:w="2610" w:type="dxa"/>
          </w:tcPr>
          <w:p w14:paraId="2BFB7F11" w14:textId="77777777" w:rsidR="00275F73" w:rsidRPr="00514603" w:rsidRDefault="00275F73" w:rsidP="003C4AF6">
            <w:pPr>
              <w:jc w:val="center"/>
              <w:rPr>
                <w:rFonts w:ascii="Times New Roman" w:hAnsi="Times New Roman" w:cs="Times New Roman"/>
              </w:rPr>
            </w:pPr>
            <w:r w:rsidRPr="00514603">
              <w:rPr>
                <w:rFonts w:ascii="Times New Roman" w:hAnsi="Times New Roman" w:cs="Times New Roman"/>
              </w:rPr>
              <w:t>Teaching Effectiveness</w:t>
            </w:r>
          </w:p>
        </w:tc>
        <w:tc>
          <w:tcPr>
            <w:tcW w:w="3600" w:type="dxa"/>
          </w:tcPr>
          <w:p w14:paraId="6A468351" w14:textId="77777777" w:rsidR="00275F73" w:rsidRPr="00514603" w:rsidRDefault="00275F73" w:rsidP="003C4AF6">
            <w:pPr>
              <w:jc w:val="center"/>
              <w:rPr>
                <w:rFonts w:ascii="Times New Roman" w:hAnsi="Times New Roman" w:cs="Times New Roman"/>
              </w:rPr>
            </w:pPr>
            <w:r w:rsidRPr="00514603">
              <w:rPr>
                <w:rFonts w:ascii="Times New Roman" w:hAnsi="Times New Roman" w:cs="Times New Roman"/>
              </w:rPr>
              <w:t>Positive Impact on K-12 Learning</w:t>
            </w:r>
          </w:p>
        </w:tc>
      </w:tr>
      <w:tr w:rsidR="00275F73" w14:paraId="33A3E0D2" w14:textId="77777777" w:rsidTr="00B9272B">
        <w:tc>
          <w:tcPr>
            <w:tcW w:w="2695" w:type="dxa"/>
          </w:tcPr>
          <w:p w14:paraId="6B72A552" w14:textId="77777777" w:rsidR="00275F73" w:rsidRPr="00514603" w:rsidRDefault="00275F73" w:rsidP="003C4AF6">
            <w:pPr>
              <w:rPr>
                <w:rFonts w:ascii="Times New Roman" w:hAnsi="Times New Roman" w:cs="Times New Roman"/>
              </w:rPr>
            </w:pPr>
            <w:r w:rsidRPr="00514603">
              <w:rPr>
                <w:rFonts w:ascii="Times New Roman" w:hAnsi="Times New Roman" w:cs="Times New Roman"/>
              </w:rPr>
              <w:t>5 – Very Effective</w:t>
            </w:r>
          </w:p>
        </w:tc>
        <w:tc>
          <w:tcPr>
            <w:tcW w:w="2610" w:type="dxa"/>
          </w:tcPr>
          <w:p w14:paraId="283D3945" w14:textId="5EFD545F" w:rsidR="00275F73" w:rsidRPr="00514603" w:rsidRDefault="006A5775" w:rsidP="003C4AF6">
            <w:pPr>
              <w:jc w:val="center"/>
              <w:rPr>
                <w:rFonts w:ascii="Times New Roman" w:hAnsi="Times New Roman" w:cs="Times New Roman"/>
              </w:rPr>
            </w:pPr>
            <w:r>
              <w:rPr>
                <w:rFonts w:ascii="Times New Roman" w:hAnsi="Times New Roman" w:cs="Times New Roman"/>
              </w:rPr>
              <w:t>16%</w:t>
            </w:r>
          </w:p>
        </w:tc>
        <w:tc>
          <w:tcPr>
            <w:tcW w:w="3600" w:type="dxa"/>
          </w:tcPr>
          <w:p w14:paraId="4FCAD6EB" w14:textId="545482B7" w:rsidR="00275F73" w:rsidRPr="00514603" w:rsidRDefault="00D35A79" w:rsidP="003C4AF6">
            <w:pPr>
              <w:jc w:val="center"/>
              <w:rPr>
                <w:rFonts w:ascii="Times New Roman" w:hAnsi="Times New Roman" w:cs="Times New Roman"/>
              </w:rPr>
            </w:pPr>
            <w:r>
              <w:rPr>
                <w:rFonts w:ascii="Times New Roman" w:hAnsi="Times New Roman" w:cs="Times New Roman"/>
              </w:rPr>
              <w:t>48%</w:t>
            </w:r>
          </w:p>
        </w:tc>
      </w:tr>
      <w:tr w:rsidR="00275F73" w14:paraId="58D4E77F" w14:textId="77777777" w:rsidTr="00B9272B">
        <w:tc>
          <w:tcPr>
            <w:tcW w:w="2695" w:type="dxa"/>
          </w:tcPr>
          <w:p w14:paraId="30F49DE6" w14:textId="77777777" w:rsidR="00275F73" w:rsidRPr="00514603" w:rsidRDefault="00275F73" w:rsidP="003C4AF6">
            <w:pPr>
              <w:rPr>
                <w:rFonts w:ascii="Times New Roman" w:hAnsi="Times New Roman" w:cs="Times New Roman"/>
              </w:rPr>
            </w:pPr>
            <w:r w:rsidRPr="00514603">
              <w:rPr>
                <w:rFonts w:ascii="Times New Roman" w:hAnsi="Times New Roman" w:cs="Times New Roman"/>
              </w:rPr>
              <w:t>4 – Effective</w:t>
            </w:r>
          </w:p>
        </w:tc>
        <w:tc>
          <w:tcPr>
            <w:tcW w:w="2610" w:type="dxa"/>
          </w:tcPr>
          <w:p w14:paraId="335A5094" w14:textId="54C896F0" w:rsidR="00275F73" w:rsidRPr="00514603" w:rsidRDefault="00963B90" w:rsidP="00390FB8">
            <w:pPr>
              <w:jc w:val="center"/>
              <w:rPr>
                <w:rFonts w:ascii="Times New Roman" w:hAnsi="Times New Roman" w:cs="Times New Roman"/>
              </w:rPr>
            </w:pPr>
            <w:r>
              <w:rPr>
                <w:rFonts w:ascii="Times New Roman" w:hAnsi="Times New Roman" w:cs="Times New Roman"/>
              </w:rPr>
              <w:t>6</w:t>
            </w:r>
            <w:r w:rsidR="00390FB8">
              <w:rPr>
                <w:rFonts w:ascii="Times New Roman" w:hAnsi="Times New Roman" w:cs="Times New Roman"/>
              </w:rPr>
              <w:t>8</w:t>
            </w:r>
            <w:r>
              <w:rPr>
                <w:rFonts w:ascii="Times New Roman" w:hAnsi="Times New Roman" w:cs="Times New Roman"/>
              </w:rPr>
              <w:t>%</w:t>
            </w:r>
          </w:p>
        </w:tc>
        <w:tc>
          <w:tcPr>
            <w:tcW w:w="3600" w:type="dxa"/>
          </w:tcPr>
          <w:p w14:paraId="2AD2174E" w14:textId="0C364E05" w:rsidR="00275F73" w:rsidRPr="00514603" w:rsidRDefault="00183B27" w:rsidP="003C4AF6">
            <w:pPr>
              <w:jc w:val="center"/>
              <w:rPr>
                <w:rFonts w:ascii="Times New Roman" w:hAnsi="Times New Roman" w:cs="Times New Roman"/>
              </w:rPr>
            </w:pPr>
            <w:r>
              <w:rPr>
                <w:rFonts w:ascii="Times New Roman" w:hAnsi="Times New Roman" w:cs="Times New Roman"/>
              </w:rPr>
              <w:t>39%</w:t>
            </w:r>
          </w:p>
        </w:tc>
      </w:tr>
      <w:tr w:rsidR="00275F73" w14:paraId="0FF297F4" w14:textId="77777777" w:rsidTr="00B9272B">
        <w:trPr>
          <w:trHeight w:val="70"/>
        </w:trPr>
        <w:tc>
          <w:tcPr>
            <w:tcW w:w="2695" w:type="dxa"/>
          </w:tcPr>
          <w:p w14:paraId="7AC1DD02" w14:textId="77777777" w:rsidR="00275F73" w:rsidRPr="00514603" w:rsidRDefault="00275F73" w:rsidP="003C4AF6">
            <w:pPr>
              <w:rPr>
                <w:rFonts w:ascii="Times New Roman" w:hAnsi="Times New Roman" w:cs="Times New Roman"/>
              </w:rPr>
            </w:pPr>
            <w:r w:rsidRPr="00514603">
              <w:rPr>
                <w:rFonts w:ascii="Times New Roman" w:hAnsi="Times New Roman" w:cs="Times New Roman"/>
              </w:rPr>
              <w:t>3 – Moderately Effective</w:t>
            </w:r>
          </w:p>
        </w:tc>
        <w:tc>
          <w:tcPr>
            <w:tcW w:w="2610" w:type="dxa"/>
          </w:tcPr>
          <w:p w14:paraId="7A4888D0" w14:textId="3ABE1EF0" w:rsidR="00275F73" w:rsidRPr="00514603" w:rsidRDefault="00390FB8" w:rsidP="003C4AF6">
            <w:pPr>
              <w:jc w:val="center"/>
              <w:rPr>
                <w:rFonts w:ascii="Times New Roman" w:hAnsi="Times New Roman" w:cs="Times New Roman"/>
              </w:rPr>
            </w:pPr>
            <w:r>
              <w:rPr>
                <w:rFonts w:ascii="Times New Roman" w:hAnsi="Times New Roman" w:cs="Times New Roman"/>
              </w:rPr>
              <w:t>13%</w:t>
            </w:r>
          </w:p>
        </w:tc>
        <w:tc>
          <w:tcPr>
            <w:tcW w:w="3600" w:type="dxa"/>
          </w:tcPr>
          <w:p w14:paraId="4BB593C4" w14:textId="2B1561E6" w:rsidR="00275F73" w:rsidRPr="00514603" w:rsidRDefault="00183B27" w:rsidP="003C4AF6">
            <w:pPr>
              <w:jc w:val="center"/>
              <w:rPr>
                <w:rFonts w:ascii="Times New Roman" w:hAnsi="Times New Roman" w:cs="Times New Roman"/>
              </w:rPr>
            </w:pPr>
            <w:r>
              <w:rPr>
                <w:rFonts w:ascii="Times New Roman" w:hAnsi="Times New Roman" w:cs="Times New Roman"/>
              </w:rPr>
              <w:t>9%</w:t>
            </w:r>
          </w:p>
        </w:tc>
      </w:tr>
      <w:tr w:rsidR="00275F73" w14:paraId="06D288D5" w14:textId="77777777" w:rsidTr="00B9272B">
        <w:tc>
          <w:tcPr>
            <w:tcW w:w="2695" w:type="dxa"/>
          </w:tcPr>
          <w:p w14:paraId="68BC25A2" w14:textId="77777777" w:rsidR="00275F73" w:rsidRPr="00514603" w:rsidRDefault="00275F73" w:rsidP="003C4AF6">
            <w:pPr>
              <w:rPr>
                <w:rFonts w:ascii="Times New Roman" w:hAnsi="Times New Roman" w:cs="Times New Roman"/>
              </w:rPr>
            </w:pPr>
            <w:r w:rsidRPr="00514603">
              <w:rPr>
                <w:rFonts w:ascii="Times New Roman" w:hAnsi="Times New Roman" w:cs="Times New Roman"/>
              </w:rPr>
              <w:t>1 – Not Very Effective</w:t>
            </w:r>
          </w:p>
        </w:tc>
        <w:tc>
          <w:tcPr>
            <w:tcW w:w="2610" w:type="dxa"/>
          </w:tcPr>
          <w:p w14:paraId="14FCA852" w14:textId="21FF5816" w:rsidR="00275F73" w:rsidRPr="00514603" w:rsidRDefault="00390FB8" w:rsidP="003C4AF6">
            <w:pPr>
              <w:jc w:val="center"/>
              <w:rPr>
                <w:rFonts w:ascii="Times New Roman" w:hAnsi="Times New Roman" w:cs="Times New Roman"/>
              </w:rPr>
            </w:pPr>
            <w:r>
              <w:rPr>
                <w:rFonts w:ascii="Times New Roman" w:hAnsi="Times New Roman" w:cs="Times New Roman"/>
              </w:rPr>
              <w:t>3%</w:t>
            </w:r>
          </w:p>
        </w:tc>
        <w:tc>
          <w:tcPr>
            <w:tcW w:w="3600" w:type="dxa"/>
          </w:tcPr>
          <w:p w14:paraId="3BD21DEB" w14:textId="42EDA792" w:rsidR="00275F73" w:rsidRPr="00514603" w:rsidRDefault="00390FB8" w:rsidP="003C4AF6">
            <w:pPr>
              <w:jc w:val="center"/>
              <w:rPr>
                <w:rFonts w:ascii="Times New Roman" w:hAnsi="Times New Roman" w:cs="Times New Roman"/>
              </w:rPr>
            </w:pPr>
            <w:r>
              <w:rPr>
                <w:rFonts w:ascii="Times New Roman" w:hAnsi="Times New Roman" w:cs="Times New Roman"/>
              </w:rPr>
              <w:t>3%</w:t>
            </w:r>
          </w:p>
        </w:tc>
      </w:tr>
    </w:tbl>
    <w:p w14:paraId="6F033536" w14:textId="77777777" w:rsidR="00222E5C" w:rsidRPr="00222E5C" w:rsidRDefault="00222E5C" w:rsidP="00222E5C">
      <w:pPr>
        <w:pStyle w:val="NormalWeb"/>
        <w:rPr>
          <w:color w:val="000000"/>
        </w:rPr>
      </w:pPr>
      <w:r w:rsidRPr="00222E5C">
        <w:rPr>
          <w:color w:val="000000"/>
        </w:rPr>
        <w:t>Across all nine Missouri Teacher Standards, Alumni respondents predominantly rated themselves as "Skilled Candidates" (3) or "Exceeding Candidates" (4), indicating confidence in their professional competencies. The strongest self-ratings appeared in:</w:t>
      </w:r>
    </w:p>
    <w:p w14:paraId="6625C53F" w14:textId="3944A6D4" w:rsidR="00222E5C" w:rsidRDefault="00222E5C" w:rsidP="00222E5C">
      <w:pPr>
        <w:pStyle w:val="NormalWeb"/>
        <w:numPr>
          <w:ilvl w:val="0"/>
          <w:numId w:val="3"/>
        </w:numPr>
        <w:rPr>
          <w:color w:val="000000"/>
        </w:rPr>
      </w:pPr>
      <w:r w:rsidRPr="00222E5C">
        <w:rPr>
          <w:color w:val="000000"/>
        </w:rPr>
        <w:t>Standard 8 (Professionalism)</w:t>
      </w:r>
    </w:p>
    <w:p w14:paraId="25D402D0" w14:textId="5A079AA8" w:rsidR="00222E5C" w:rsidRPr="00222E5C" w:rsidRDefault="00222E5C" w:rsidP="00222E5C">
      <w:pPr>
        <w:pStyle w:val="NormalWeb"/>
        <w:numPr>
          <w:ilvl w:val="0"/>
          <w:numId w:val="3"/>
        </w:numPr>
        <w:rPr>
          <w:color w:val="000000"/>
        </w:rPr>
      </w:pPr>
      <w:r w:rsidRPr="00222E5C">
        <w:rPr>
          <w:color w:val="000000"/>
        </w:rPr>
        <w:t>Standard 6 (Effective Communication)</w:t>
      </w:r>
    </w:p>
    <w:p w14:paraId="517CB848" w14:textId="70C4F7E5" w:rsidR="00222E5C" w:rsidRPr="00222E5C" w:rsidRDefault="00222E5C" w:rsidP="00222E5C">
      <w:pPr>
        <w:pStyle w:val="NormalWeb"/>
        <w:numPr>
          <w:ilvl w:val="0"/>
          <w:numId w:val="3"/>
        </w:numPr>
        <w:rPr>
          <w:color w:val="000000"/>
        </w:rPr>
      </w:pPr>
      <w:r w:rsidRPr="00222E5C">
        <w:rPr>
          <w:color w:val="000000"/>
        </w:rPr>
        <w:t>Standard 9 (Professional Collaboration)</w:t>
      </w:r>
    </w:p>
    <w:p w14:paraId="61048BC2" w14:textId="77777777" w:rsidR="00613BDF" w:rsidRDefault="00613BDF" w:rsidP="00222E5C">
      <w:pPr>
        <w:pStyle w:val="NormalWeb"/>
        <w:rPr>
          <w:b/>
          <w:bCs/>
          <w:color w:val="000000"/>
        </w:rPr>
      </w:pPr>
    </w:p>
    <w:p w14:paraId="32E7165F" w14:textId="6A47D6B3" w:rsidR="004D6479" w:rsidRDefault="00A62D9D" w:rsidP="00222E5C">
      <w:pPr>
        <w:pStyle w:val="NormalWeb"/>
        <w:rPr>
          <w:b/>
          <w:bCs/>
          <w:color w:val="000000"/>
        </w:rPr>
      </w:pPr>
      <w:r w:rsidRPr="00A62D9D">
        <w:rPr>
          <w:b/>
          <w:bCs/>
          <w:color w:val="000000"/>
        </w:rPr>
        <w:lastRenderedPageBreak/>
        <w:t>Open-Ended Questions</w:t>
      </w:r>
    </w:p>
    <w:p w14:paraId="6C3866D1" w14:textId="7A5E44C0" w:rsidR="00B45205" w:rsidRDefault="00B45205" w:rsidP="00AE1EF1">
      <w:pPr>
        <w:pStyle w:val="NormalWeb"/>
        <w:rPr>
          <w:color w:val="000000"/>
        </w:rPr>
      </w:pPr>
      <w:r>
        <w:rPr>
          <w:color w:val="000000"/>
        </w:rPr>
        <w:t xml:space="preserve">The Alumni Survey provides respondents with the opportunity to provide richer feedback </w:t>
      </w:r>
      <w:r w:rsidR="000E3C8F">
        <w:rPr>
          <w:color w:val="000000"/>
        </w:rPr>
        <w:t xml:space="preserve">with </w:t>
      </w:r>
      <w:r>
        <w:rPr>
          <w:color w:val="000000"/>
        </w:rPr>
        <w:t>detailed responses</w:t>
      </w:r>
      <w:r w:rsidR="00920AED">
        <w:rPr>
          <w:color w:val="000000"/>
        </w:rPr>
        <w:t xml:space="preserve"> and diverse viewpoints from varied experiences. Four specific </w:t>
      </w:r>
      <w:r w:rsidR="000E3C8F">
        <w:rPr>
          <w:color w:val="000000"/>
        </w:rPr>
        <w:t xml:space="preserve">open-ended </w:t>
      </w:r>
      <w:r w:rsidR="00920AED">
        <w:rPr>
          <w:color w:val="000000"/>
        </w:rPr>
        <w:t xml:space="preserve">questions were asked in this year’s </w:t>
      </w:r>
      <w:r w:rsidR="003524EB">
        <w:rPr>
          <w:color w:val="000000"/>
        </w:rPr>
        <w:t>survey.</w:t>
      </w:r>
    </w:p>
    <w:p w14:paraId="7C1032E6" w14:textId="44E04EB6" w:rsidR="00AE1EF1" w:rsidRDefault="004D6479" w:rsidP="00AE1EF1">
      <w:pPr>
        <w:pStyle w:val="NormalWeb"/>
        <w:rPr>
          <w:color w:val="000000"/>
        </w:rPr>
      </w:pPr>
      <w:r>
        <w:rPr>
          <w:color w:val="000000"/>
        </w:rPr>
        <w:t xml:space="preserve">The Alumni Survey asked completers how they measure teaching effectiveness. </w:t>
      </w:r>
      <w:r w:rsidR="00AE1EF1">
        <w:rPr>
          <w:color w:val="000000"/>
        </w:rPr>
        <w:t>Responses from 2023-2024 alumni include:</w:t>
      </w:r>
    </w:p>
    <w:p w14:paraId="44547566" w14:textId="77777777" w:rsidR="00AE1EF1" w:rsidRDefault="00AE1EF1" w:rsidP="00AE1EF1">
      <w:pPr>
        <w:pStyle w:val="NormalWeb"/>
        <w:numPr>
          <w:ilvl w:val="0"/>
          <w:numId w:val="11"/>
        </w:numPr>
        <w:rPr>
          <w:color w:val="000000"/>
        </w:rPr>
      </w:pPr>
      <w:r>
        <w:rPr>
          <w:color w:val="000000"/>
        </w:rPr>
        <w:t xml:space="preserve">Through student progress and outcomes </w:t>
      </w:r>
    </w:p>
    <w:p w14:paraId="6C8C00B7" w14:textId="77777777" w:rsidR="00AE1EF1" w:rsidRDefault="00AE1EF1" w:rsidP="00AE1EF1">
      <w:pPr>
        <w:pStyle w:val="NormalWeb"/>
        <w:numPr>
          <w:ilvl w:val="0"/>
          <w:numId w:val="11"/>
        </w:numPr>
        <w:rPr>
          <w:color w:val="000000"/>
        </w:rPr>
      </w:pPr>
      <w:r>
        <w:rPr>
          <w:color w:val="000000"/>
        </w:rPr>
        <w:t xml:space="preserve">Through student data and engagement in content </w:t>
      </w:r>
    </w:p>
    <w:p w14:paraId="0CF89C46" w14:textId="77777777" w:rsidR="00AE1EF1" w:rsidRDefault="00AE1EF1" w:rsidP="00AE1EF1">
      <w:pPr>
        <w:pStyle w:val="NormalWeb"/>
        <w:numPr>
          <w:ilvl w:val="0"/>
          <w:numId w:val="11"/>
        </w:numPr>
        <w:rPr>
          <w:color w:val="000000"/>
        </w:rPr>
      </w:pPr>
      <w:r>
        <w:rPr>
          <w:color w:val="000000"/>
        </w:rPr>
        <w:t xml:space="preserve">By the overall learning of each student and my relationship to each student </w:t>
      </w:r>
    </w:p>
    <w:p w14:paraId="0564BC11" w14:textId="77777777" w:rsidR="00AE1EF1" w:rsidRDefault="00AE1EF1" w:rsidP="00AE1EF1">
      <w:pPr>
        <w:pStyle w:val="NormalWeb"/>
        <w:numPr>
          <w:ilvl w:val="0"/>
          <w:numId w:val="11"/>
        </w:numPr>
        <w:rPr>
          <w:color w:val="000000"/>
        </w:rPr>
      </w:pPr>
      <w:r>
        <w:rPr>
          <w:color w:val="000000"/>
        </w:rPr>
        <w:t xml:space="preserve">Data </w:t>
      </w:r>
    </w:p>
    <w:p w14:paraId="51D8A368" w14:textId="388FF2DC" w:rsidR="00AE1EF1" w:rsidRDefault="00AE1EF1" w:rsidP="00AE1EF1">
      <w:pPr>
        <w:pStyle w:val="NormalWeb"/>
        <w:numPr>
          <w:ilvl w:val="0"/>
          <w:numId w:val="11"/>
        </w:numPr>
        <w:rPr>
          <w:color w:val="000000"/>
        </w:rPr>
      </w:pPr>
      <w:r>
        <w:rPr>
          <w:color w:val="000000"/>
        </w:rPr>
        <w:t>Self-reflection, classroom observation, assignment and testing, growth/achievement</w:t>
      </w:r>
    </w:p>
    <w:p w14:paraId="63B22763" w14:textId="42D277DE" w:rsidR="00AE1EF1" w:rsidRDefault="00AE1EF1" w:rsidP="00AE1EF1">
      <w:pPr>
        <w:pStyle w:val="NormalWeb"/>
        <w:rPr>
          <w:color w:val="000000"/>
        </w:rPr>
      </w:pPr>
      <w:r>
        <w:rPr>
          <w:color w:val="000000"/>
        </w:rPr>
        <w:t xml:space="preserve">Another open-ended </w:t>
      </w:r>
      <w:r w:rsidR="002844F1">
        <w:rPr>
          <w:color w:val="000000"/>
        </w:rPr>
        <w:t>question</w:t>
      </w:r>
      <w:r>
        <w:rPr>
          <w:color w:val="000000"/>
        </w:rPr>
        <w:t xml:space="preserve"> </w:t>
      </w:r>
      <w:r w:rsidR="002844F1">
        <w:rPr>
          <w:color w:val="000000"/>
        </w:rPr>
        <w:t>was, “</w:t>
      </w:r>
      <w:r>
        <w:rPr>
          <w:color w:val="000000"/>
        </w:rPr>
        <w:t xml:space="preserve">How do you measure having a positive impact on P-12 learners?”. Responses from 2023-2024 Alumni include: </w:t>
      </w:r>
    </w:p>
    <w:p w14:paraId="5D691C91" w14:textId="302CA67F" w:rsidR="00AE1EF1" w:rsidRDefault="00AE1EF1" w:rsidP="00AE1EF1">
      <w:pPr>
        <w:pStyle w:val="NormalWeb"/>
        <w:numPr>
          <w:ilvl w:val="0"/>
          <w:numId w:val="10"/>
        </w:numPr>
        <w:rPr>
          <w:color w:val="000000"/>
        </w:rPr>
      </w:pPr>
      <w:r>
        <w:rPr>
          <w:color w:val="000000"/>
        </w:rPr>
        <w:t>If students are enjoying my class and having fun trying new things.</w:t>
      </w:r>
    </w:p>
    <w:p w14:paraId="51B5BEED" w14:textId="55E46C3A" w:rsidR="00AE1EF1" w:rsidRDefault="00AE1EF1" w:rsidP="00AE1EF1">
      <w:pPr>
        <w:pStyle w:val="NormalWeb"/>
        <w:numPr>
          <w:ilvl w:val="0"/>
          <w:numId w:val="10"/>
        </w:numPr>
        <w:rPr>
          <w:color w:val="000000"/>
        </w:rPr>
      </w:pPr>
      <w:r>
        <w:rPr>
          <w:color w:val="000000"/>
        </w:rPr>
        <w:t>Showing up for them if they invite me to support events or competitions. I write positive notes for each kid in my class at some point throughout the month.</w:t>
      </w:r>
    </w:p>
    <w:p w14:paraId="4B51B8CD" w14:textId="66114891" w:rsidR="00AE1EF1" w:rsidRDefault="00AE1EF1" w:rsidP="00AE1EF1">
      <w:pPr>
        <w:pStyle w:val="NormalWeb"/>
        <w:numPr>
          <w:ilvl w:val="0"/>
          <w:numId w:val="10"/>
        </w:numPr>
        <w:rPr>
          <w:color w:val="000000"/>
        </w:rPr>
      </w:pPr>
      <w:r>
        <w:rPr>
          <w:color w:val="000000"/>
        </w:rPr>
        <w:t>The relationship</w:t>
      </w:r>
      <w:r w:rsidR="003524EB">
        <w:rPr>
          <w:color w:val="000000"/>
        </w:rPr>
        <w:t>(s)</w:t>
      </w:r>
      <w:r>
        <w:rPr>
          <w:color w:val="000000"/>
        </w:rPr>
        <w:t xml:space="preserve"> built and classroom culture that is created. </w:t>
      </w:r>
    </w:p>
    <w:p w14:paraId="30AE0799" w14:textId="05ADAEEB" w:rsidR="00AE1EF1" w:rsidRDefault="00AE1EF1" w:rsidP="00AE1EF1">
      <w:pPr>
        <w:pStyle w:val="NormalWeb"/>
        <w:numPr>
          <w:ilvl w:val="0"/>
          <w:numId w:val="10"/>
        </w:numPr>
        <w:rPr>
          <w:color w:val="000000"/>
        </w:rPr>
      </w:pPr>
      <w:r>
        <w:rPr>
          <w:color w:val="000000"/>
        </w:rPr>
        <w:t>Providing education opportunities and experiences through performance</w:t>
      </w:r>
      <w:r w:rsidR="00F161F8">
        <w:rPr>
          <w:color w:val="000000"/>
        </w:rPr>
        <w:t xml:space="preserve">. </w:t>
      </w:r>
      <w:r>
        <w:rPr>
          <w:color w:val="000000"/>
        </w:rPr>
        <w:t xml:space="preserve">Hearing feedback from students and </w:t>
      </w:r>
      <w:r w:rsidR="002844F1">
        <w:rPr>
          <w:color w:val="000000"/>
        </w:rPr>
        <w:t>other</w:t>
      </w:r>
      <w:r>
        <w:rPr>
          <w:color w:val="000000"/>
        </w:rPr>
        <w:t xml:space="preserve"> colleagues about how students talk about my classes. </w:t>
      </w:r>
    </w:p>
    <w:p w14:paraId="1DD85F4F" w14:textId="3743CD93" w:rsidR="002844F1" w:rsidRDefault="002844F1" w:rsidP="002844F1">
      <w:pPr>
        <w:pStyle w:val="NormalWeb"/>
        <w:rPr>
          <w:color w:val="000000"/>
        </w:rPr>
      </w:pPr>
      <w:r>
        <w:rPr>
          <w:color w:val="000000"/>
        </w:rPr>
        <w:t xml:space="preserve">Alumni responded to </w:t>
      </w:r>
      <w:r w:rsidR="00C808F2">
        <w:rPr>
          <w:color w:val="000000"/>
        </w:rPr>
        <w:t>an</w:t>
      </w:r>
      <w:r>
        <w:rPr>
          <w:color w:val="000000"/>
        </w:rPr>
        <w:t xml:space="preserve"> </w:t>
      </w:r>
      <w:r w:rsidR="00C808F2">
        <w:rPr>
          <w:color w:val="000000"/>
        </w:rPr>
        <w:t>open-ended</w:t>
      </w:r>
      <w:r>
        <w:rPr>
          <w:color w:val="000000"/>
        </w:rPr>
        <w:t xml:space="preserve"> question regarding their classroom challenges. Responses from 2023-2024 Alumni include: </w:t>
      </w:r>
    </w:p>
    <w:p w14:paraId="73657562" w14:textId="5B11408D" w:rsidR="00AE1EF1" w:rsidRDefault="002844F1" w:rsidP="002844F1">
      <w:pPr>
        <w:pStyle w:val="NormalWeb"/>
        <w:numPr>
          <w:ilvl w:val="0"/>
          <w:numId w:val="12"/>
        </w:numPr>
        <w:rPr>
          <w:color w:val="000000"/>
        </w:rPr>
      </w:pPr>
      <w:r>
        <w:rPr>
          <w:color w:val="000000"/>
        </w:rPr>
        <w:t xml:space="preserve">Fighting learned helplessness and working to motivate students. </w:t>
      </w:r>
    </w:p>
    <w:p w14:paraId="022EFB8D" w14:textId="7C93A44C" w:rsidR="002844F1" w:rsidRDefault="002844F1" w:rsidP="002844F1">
      <w:pPr>
        <w:pStyle w:val="NormalWeb"/>
        <w:numPr>
          <w:ilvl w:val="0"/>
          <w:numId w:val="12"/>
        </w:numPr>
        <w:rPr>
          <w:color w:val="000000"/>
        </w:rPr>
      </w:pPr>
      <w:r>
        <w:rPr>
          <w:color w:val="000000"/>
        </w:rPr>
        <w:t>Lack of ESL preparation.</w:t>
      </w:r>
    </w:p>
    <w:p w14:paraId="3C3E4961" w14:textId="3DD7B814" w:rsidR="002844F1" w:rsidRDefault="002844F1" w:rsidP="002844F1">
      <w:pPr>
        <w:pStyle w:val="NormalWeb"/>
        <w:numPr>
          <w:ilvl w:val="0"/>
          <w:numId w:val="12"/>
        </w:numPr>
        <w:rPr>
          <w:color w:val="000000"/>
        </w:rPr>
      </w:pPr>
      <w:r>
        <w:rPr>
          <w:color w:val="000000"/>
        </w:rPr>
        <w:t>Classroom management</w:t>
      </w:r>
    </w:p>
    <w:p w14:paraId="627133CA" w14:textId="5F6C880D" w:rsidR="002844F1" w:rsidRDefault="002844F1" w:rsidP="002844F1">
      <w:pPr>
        <w:pStyle w:val="NormalWeb"/>
        <w:numPr>
          <w:ilvl w:val="0"/>
          <w:numId w:val="12"/>
        </w:numPr>
        <w:rPr>
          <w:color w:val="000000"/>
        </w:rPr>
      </w:pPr>
      <w:r>
        <w:rPr>
          <w:color w:val="000000"/>
        </w:rPr>
        <w:t>Classroom discipline and behavior</w:t>
      </w:r>
    </w:p>
    <w:p w14:paraId="2857B3BE" w14:textId="0234E82D" w:rsidR="002844F1" w:rsidRDefault="002844F1" w:rsidP="002844F1">
      <w:pPr>
        <w:pStyle w:val="NormalWeb"/>
        <w:numPr>
          <w:ilvl w:val="0"/>
          <w:numId w:val="12"/>
        </w:numPr>
        <w:rPr>
          <w:color w:val="000000"/>
        </w:rPr>
      </w:pPr>
      <w:r>
        <w:rPr>
          <w:color w:val="000000"/>
        </w:rPr>
        <w:t xml:space="preserve">A student who does not care about school nor </w:t>
      </w:r>
      <w:r w:rsidR="00DF54BE">
        <w:rPr>
          <w:color w:val="000000"/>
        </w:rPr>
        <w:t>the consequences</w:t>
      </w:r>
      <w:r>
        <w:rPr>
          <w:color w:val="000000"/>
        </w:rPr>
        <w:t xml:space="preserve"> for disruptive behavior.</w:t>
      </w:r>
    </w:p>
    <w:p w14:paraId="63223976" w14:textId="26BE0DF8" w:rsidR="002844F1" w:rsidRDefault="002844F1" w:rsidP="002844F1">
      <w:pPr>
        <w:pStyle w:val="NormalWeb"/>
        <w:rPr>
          <w:color w:val="000000"/>
        </w:rPr>
      </w:pPr>
      <w:r>
        <w:rPr>
          <w:color w:val="000000"/>
        </w:rPr>
        <w:lastRenderedPageBreak/>
        <w:t xml:space="preserve">Alumni were asked </w:t>
      </w:r>
      <w:r w:rsidR="005B16A1">
        <w:rPr>
          <w:color w:val="000000"/>
        </w:rPr>
        <w:t xml:space="preserve">for the single most important area that EPP’s should strengthen. Responses from the 2023-2024 Alumni include: </w:t>
      </w:r>
    </w:p>
    <w:p w14:paraId="15BEC381" w14:textId="5D70BC6F" w:rsidR="005B16A1" w:rsidRDefault="005B16A1" w:rsidP="005B16A1">
      <w:pPr>
        <w:pStyle w:val="NormalWeb"/>
        <w:numPr>
          <w:ilvl w:val="0"/>
          <w:numId w:val="13"/>
        </w:numPr>
        <w:rPr>
          <w:color w:val="000000"/>
        </w:rPr>
      </w:pPr>
      <w:r>
        <w:rPr>
          <w:color w:val="000000"/>
        </w:rPr>
        <w:t>Classroom management and how to pivot</w:t>
      </w:r>
    </w:p>
    <w:p w14:paraId="34BF7F8E" w14:textId="09F7872B" w:rsidR="005B16A1" w:rsidRDefault="005B16A1" w:rsidP="005B16A1">
      <w:pPr>
        <w:pStyle w:val="NormalWeb"/>
        <w:numPr>
          <w:ilvl w:val="0"/>
          <w:numId w:val="13"/>
        </w:numPr>
        <w:rPr>
          <w:color w:val="000000"/>
        </w:rPr>
      </w:pPr>
      <w:r>
        <w:rPr>
          <w:color w:val="000000"/>
        </w:rPr>
        <w:t>English as a Second Language, please</w:t>
      </w:r>
    </w:p>
    <w:p w14:paraId="136D21EC" w14:textId="792ED85A" w:rsidR="005B16A1" w:rsidRDefault="005B16A1" w:rsidP="005B16A1">
      <w:pPr>
        <w:pStyle w:val="NormalWeb"/>
        <w:numPr>
          <w:ilvl w:val="0"/>
          <w:numId w:val="13"/>
        </w:numPr>
        <w:rPr>
          <w:color w:val="000000"/>
        </w:rPr>
      </w:pPr>
      <w:r>
        <w:rPr>
          <w:color w:val="000000"/>
        </w:rPr>
        <w:t>More classes on developing critical thinking within the classroom</w:t>
      </w:r>
    </w:p>
    <w:p w14:paraId="43EEFEE4" w14:textId="3AE89117" w:rsidR="005B16A1" w:rsidRDefault="005B16A1" w:rsidP="005B16A1">
      <w:pPr>
        <w:pStyle w:val="NormalWeb"/>
        <w:numPr>
          <w:ilvl w:val="0"/>
          <w:numId w:val="13"/>
        </w:numPr>
        <w:rPr>
          <w:color w:val="000000"/>
        </w:rPr>
      </w:pPr>
      <w:r>
        <w:rPr>
          <w:color w:val="000000"/>
        </w:rPr>
        <w:t xml:space="preserve">On the job training. </w:t>
      </w:r>
      <w:r w:rsidR="00F161F8">
        <w:rPr>
          <w:color w:val="000000"/>
        </w:rPr>
        <w:t>There is</w:t>
      </w:r>
      <w:r>
        <w:rPr>
          <w:color w:val="000000"/>
        </w:rPr>
        <w:t xml:space="preserve"> so much I learned on the fly and in the field doing it. </w:t>
      </w:r>
    </w:p>
    <w:p w14:paraId="67A10CCF" w14:textId="3B525B63" w:rsidR="005B16A1" w:rsidRDefault="005B16A1" w:rsidP="005B16A1">
      <w:pPr>
        <w:pStyle w:val="NormalWeb"/>
        <w:numPr>
          <w:ilvl w:val="0"/>
          <w:numId w:val="13"/>
        </w:numPr>
        <w:rPr>
          <w:color w:val="000000"/>
        </w:rPr>
      </w:pPr>
      <w:r>
        <w:rPr>
          <w:color w:val="000000"/>
        </w:rPr>
        <w:t xml:space="preserve">More focus on the classroom during student teaching and less focus on the artifacts. </w:t>
      </w:r>
    </w:p>
    <w:p w14:paraId="689AF3B4" w14:textId="004E759E" w:rsidR="00907C26" w:rsidRDefault="008A18BC" w:rsidP="00907C26">
      <w:pPr>
        <w:pStyle w:val="NormalWeb"/>
        <w:rPr>
          <w:color w:val="000000"/>
        </w:rPr>
      </w:pPr>
      <w:r>
        <w:rPr>
          <w:color w:val="000000"/>
        </w:rPr>
        <w:t>Students self-reported their MEES (Missouri Educator Evaluation System) scores</w:t>
      </w:r>
      <w:r w:rsidR="00A53439">
        <w:rPr>
          <w:color w:val="000000"/>
        </w:rPr>
        <w:t xml:space="preserve"> for the MoSPE Standards (Missouri Standards for the Preparation of Students. The following </w:t>
      </w:r>
      <w:r w:rsidR="00BC4AD6">
        <w:rPr>
          <w:color w:val="000000"/>
        </w:rPr>
        <w:t xml:space="preserve">information represents the </w:t>
      </w:r>
      <w:r w:rsidR="001A1F15">
        <w:rPr>
          <w:color w:val="000000"/>
        </w:rPr>
        <w:t>nine</w:t>
      </w:r>
      <w:r w:rsidR="004D5670">
        <w:rPr>
          <w:color w:val="000000"/>
        </w:rPr>
        <w:t xml:space="preserve"> </w:t>
      </w:r>
      <w:r w:rsidR="006E7BBB">
        <w:rPr>
          <w:color w:val="000000"/>
        </w:rPr>
        <w:t xml:space="preserve">2023-2024 </w:t>
      </w:r>
      <w:r w:rsidR="003C7E61">
        <w:rPr>
          <w:color w:val="000000"/>
        </w:rPr>
        <w:t xml:space="preserve">alumni </w:t>
      </w:r>
      <w:r w:rsidR="004D5670">
        <w:rPr>
          <w:color w:val="000000"/>
        </w:rPr>
        <w:t xml:space="preserve">who completed this section of the survey. </w:t>
      </w:r>
    </w:p>
    <w:tbl>
      <w:tblPr>
        <w:tblStyle w:val="TableGridLight"/>
        <w:tblW w:w="0" w:type="auto"/>
        <w:tblLook w:val="04A0" w:firstRow="1" w:lastRow="0" w:firstColumn="1" w:lastColumn="0" w:noHBand="0" w:noVBand="1"/>
      </w:tblPr>
      <w:tblGrid>
        <w:gridCol w:w="2112"/>
        <w:gridCol w:w="2113"/>
        <w:gridCol w:w="1195"/>
        <w:gridCol w:w="754"/>
        <w:gridCol w:w="858"/>
        <w:gridCol w:w="858"/>
        <w:gridCol w:w="858"/>
        <w:gridCol w:w="858"/>
        <w:gridCol w:w="858"/>
        <w:gridCol w:w="858"/>
        <w:gridCol w:w="788"/>
        <w:gridCol w:w="840"/>
      </w:tblGrid>
      <w:tr w:rsidR="003C7E61" w:rsidRPr="003C7E61" w14:paraId="7E49A330" w14:textId="77777777" w:rsidTr="001A1F15">
        <w:trPr>
          <w:trHeight w:val="290"/>
        </w:trPr>
        <w:tc>
          <w:tcPr>
            <w:tcW w:w="2112" w:type="dxa"/>
            <w:noWrap/>
            <w:hideMark/>
          </w:tcPr>
          <w:p w14:paraId="6F5D1162" w14:textId="77777777" w:rsidR="003C7E61" w:rsidRPr="003C7E61" w:rsidRDefault="003C7E61" w:rsidP="003C7E61">
            <w:pPr>
              <w:pStyle w:val="NormalWeb"/>
              <w:rPr>
                <w:b/>
                <w:bCs/>
                <w:color w:val="000000"/>
              </w:rPr>
            </w:pPr>
            <w:r w:rsidRPr="003C7E61">
              <w:rPr>
                <w:b/>
                <w:bCs/>
                <w:color w:val="000000"/>
              </w:rPr>
              <w:t>Program</w:t>
            </w:r>
          </w:p>
        </w:tc>
        <w:tc>
          <w:tcPr>
            <w:tcW w:w="2113" w:type="dxa"/>
            <w:noWrap/>
            <w:hideMark/>
          </w:tcPr>
          <w:p w14:paraId="6070E1D3" w14:textId="77777777" w:rsidR="003C7E61" w:rsidRPr="003C7E61" w:rsidRDefault="003C7E61" w:rsidP="003C7E61">
            <w:pPr>
              <w:pStyle w:val="NormalWeb"/>
              <w:rPr>
                <w:b/>
                <w:bCs/>
                <w:color w:val="000000"/>
              </w:rPr>
            </w:pPr>
            <w:r w:rsidRPr="003C7E61">
              <w:rPr>
                <w:b/>
                <w:bCs/>
                <w:color w:val="000000"/>
              </w:rPr>
              <w:t>Race</w:t>
            </w:r>
          </w:p>
        </w:tc>
        <w:tc>
          <w:tcPr>
            <w:tcW w:w="1195" w:type="dxa"/>
            <w:noWrap/>
            <w:hideMark/>
          </w:tcPr>
          <w:p w14:paraId="659433FE" w14:textId="77777777" w:rsidR="003C7E61" w:rsidRPr="003C7E61" w:rsidRDefault="003C7E61" w:rsidP="003C7E61">
            <w:pPr>
              <w:pStyle w:val="NormalWeb"/>
              <w:rPr>
                <w:b/>
                <w:bCs/>
                <w:color w:val="000000"/>
              </w:rPr>
            </w:pPr>
            <w:r w:rsidRPr="003C7E61">
              <w:rPr>
                <w:b/>
                <w:bCs/>
                <w:color w:val="000000"/>
              </w:rPr>
              <w:t>Gender</w:t>
            </w:r>
          </w:p>
        </w:tc>
        <w:tc>
          <w:tcPr>
            <w:tcW w:w="754" w:type="dxa"/>
            <w:noWrap/>
            <w:hideMark/>
          </w:tcPr>
          <w:p w14:paraId="019B7709" w14:textId="77777777" w:rsidR="003C7E61" w:rsidRPr="003C7E61" w:rsidRDefault="003C7E61" w:rsidP="003C7E61">
            <w:pPr>
              <w:pStyle w:val="NormalWeb"/>
              <w:rPr>
                <w:b/>
                <w:bCs/>
                <w:color w:val="000000"/>
              </w:rPr>
            </w:pPr>
            <w:r w:rsidRPr="003C7E61">
              <w:rPr>
                <w:b/>
                <w:bCs/>
                <w:color w:val="000000"/>
              </w:rPr>
              <w:t>ST 1</w:t>
            </w:r>
          </w:p>
        </w:tc>
        <w:tc>
          <w:tcPr>
            <w:tcW w:w="858" w:type="dxa"/>
            <w:noWrap/>
            <w:hideMark/>
          </w:tcPr>
          <w:p w14:paraId="44324CFE" w14:textId="77777777" w:rsidR="003C7E61" w:rsidRPr="003C7E61" w:rsidRDefault="003C7E61" w:rsidP="003C7E61">
            <w:pPr>
              <w:pStyle w:val="NormalWeb"/>
              <w:rPr>
                <w:b/>
                <w:bCs/>
                <w:color w:val="000000"/>
              </w:rPr>
            </w:pPr>
            <w:r w:rsidRPr="003C7E61">
              <w:rPr>
                <w:b/>
                <w:bCs/>
                <w:color w:val="000000"/>
              </w:rPr>
              <w:t>ST 2</w:t>
            </w:r>
          </w:p>
        </w:tc>
        <w:tc>
          <w:tcPr>
            <w:tcW w:w="858" w:type="dxa"/>
            <w:noWrap/>
            <w:hideMark/>
          </w:tcPr>
          <w:p w14:paraId="58C07301" w14:textId="77777777" w:rsidR="003C7E61" w:rsidRPr="003C7E61" w:rsidRDefault="003C7E61" w:rsidP="003C7E61">
            <w:pPr>
              <w:pStyle w:val="NormalWeb"/>
              <w:rPr>
                <w:b/>
                <w:bCs/>
                <w:color w:val="000000"/>
              </w:rPr>
            </w:pPr>
            <w:r w:rsidRPr="003C7E61">
              <w:rPr>
                <w:b/>
                <w:bCs/>
                <w:color w:val="000000"/>
              </w:rPr>
              <w:t>ST 3</w:t>
            </w:r>
          </w:p>
        </w:tc>
        <w:tc>
          <w:tcPr>
            <w:tcW w:w="858" w:type="dxa"/>
            <w:noWrap/>
            <w:hideMark/>
          </w:tcPr>
          <w:p w14:paraId="6A08E4A6" w14:textId="77777777" w:rsidR="003C7E61" w:rsidRPr="003C7E61" w:rsidRDefault="003C7E61" w:rsidP="003C7E61">
            <w:pPr>
              <w:pStyle w:val="NormalWeb"/>
              <w:rPr>
                <w:b/>
                <w:bCs/>
                <w:color w:val="000000"/>
              </w:rPr>
            </w:pPr>
            <w:r w:rsidRPr="003C7E61">
              <w:rPr>
                <w:b/>
                <w:bCs/>
                <w:color w:val="000000"/>
              </w:rPr>
              <w:t>ST 4</w:t>
            </w:r>
          </w:p>
        </w:tc>
        <w:tc>
          <w:tcPr>
            <w:tcW w:w="858" w:type="dxa"/>
            <w:noWrap/>
            <w:hideMark/>
          </w:tcPr>
          <w:p w14:paraId="723894BC" w14:textId="77777777" w:rsidR="003C7E61" w:rsidRPr="003C7E61" w:rsidRDefault="003C7E61" w:rsidP="003C7E61">
            <w:pPr>
              <w:pStyle w:val="NormalWeb"/>
              <w:rPr>
                <w:b/>
                <w:bCs/>
                <w:color w:val="000000"/>
              </w:rPr>
            </w:pPr>
            <w:r w:rsidRPr="003C7E61">
              <w:rPr>
                <w:b/>
                <w:bCs/>
                <w:color w:val="000000"/>
              </w:rPr>
              <w:t>ST 5</w:t>
            </w:r>
          </w:p>
        </w:tc>
        <w:tc>
          <w:tcPr>
            <w:tcW w:w="858" w:type="dxa"/>
            <w:noWrap/>
            <w:hideMark/>
          </w:tcPr>
          <w:p w14:paraId="7FAEE7BB" w14:textId="77777777" w:rsidR="003C7E61" w:rsidRPr="003C7E61" w:rsidRDefault="003C7E61" w:rsidP="003C7E61">
            <w:pPr>
              <w:pStyle w:val="NormalWeb"/>
              <w:rPr>
                <w:b/>
                <w:bCs/>
                <w:color w:val="000000"/>
              </w:rPr>
            </w:pPr>
            <w:r w:rsidRPr="003C7E61">
              <w:rPr>
                <w:b/>
                <w:bCs/>
                <w:color w:val="000000"/>
              </w:rPr>
              <w:t>ST 6</w:t>
            </w:r>
          </w:p>
        </w:tc>
        <w:tc>
          <w:tcPr>
            <w:tcW w:w="858" w:type="dxa"/>
            <w:noWrap/>
            <w:hideMark/>
          </w:tcPr>
          <w:p w14:paraId="73FCDF73" w14:textId="77777777" w:rsidR="003C7E61" w:rsidRPr="003C7E61" w:rsidRDefault="003C7E61" w:rsidP="003C7E61">
            <w:pPr>
              <w:pStyle w:val="NormalWeb"/>
              <w:rPr>
                <w:b/>
                <w:bCs/>
                <w:color w:val="000000"/>
              </w:rPr>
            </w:pPr>
            <w:r w:rsidRPr="003C7E61">
              <w:rPr>
                <w:b/>
                <w:bCs/>
                <w:color w:val="000000"/>
              </w:rPr>
              <w:t>ST 7</w:t>
            </w:r>
          </w:p>
        </w:tc>
        <w:tc>
          <w:tcPr>
            <w:tcW w:w="788" w:type="dxa"/>
            <w:noWrap/>
            <w:hideMark/>
          </w:tcPr>
          <w:p w14:paraId="47153BFB" w14:textId="77777777" w:rsidR="003C7E61" w:rsidRPr="003C7E61" w:rsidRDefault="003C7E61" w:rsidP="003C7E61">
            <w:pPr>
              <w:pStyle w:val="NormalWeb"/>
              <w:rPr>
                <w:b/>
                <w:bCs/>
                <w:color w:val="000000"/>
              </w:rPr>
            </w:pPr>
            <w:r w:rsidRPr="003C7E61">
              <w:rPr>
                <w:b/>
                <w:bCs/>
                <w:color w:val="000000"/>
              </w:rPr>
              <w:t>ST 8</w:t>
            </w:r>
          </w:p>
        </w:tc>
        <w:tc>
          <w:tcPr>
            <w:tcW w:w="840" w:type="dxa"/>
            <w:noWrap/>
            <w:hideMark/>
          </w:tcPr>
          <w:p w14:paraId="14AAFA1B" w14:textId="77777777" w:rsidR="003C7E61" w:rsidRPr="003C7E61" w:rsidRDefault="003C7E61" w:rsidP="003C7E61">
            <w:pPr>
              <w:pStyle w:val="NormalWeb"/>
              <w:rPr>
                <w:b/>
                <w:bCs/>
                <w:color w:val="000000"/>
              </w:rPr>
            </w:pPr>
            <w:r w:rsidRPr="003C7E61">
              <w:rPr>
                <w:b/>
                <w:bCs/>
                <w:color w:val="000000"/>
              </w:rPr>
              <w:t>ST 9</w:t>
            </w:r>
          </w:p>
        </w:tc>
      </w:tr>
      <w:tr w:rsidR="003C7E61" w:rsidRPr="003C7E61" w14:paraId="3C1C31B4" w14:textId="77777777" w:rsidTr="001A1F15">
        <w:trPr>
          <w:trHeight w:val="290"/>
        </w:trPr>
        <w:tc>
          <w:tcPr>
            <w:tcW w:w="2112" w:type="dxa"/>
            <w:noWrap/>
            <w:hideMark/>
          </w:tcPr>
          <w:p w14:paraId="6A067048" w14:textId="77777777" w:rsidR="003C7E61" w:rsidRPr="003C7E61" w:rsidRDefault="003C7E61" w:rsidP="003C7E61">
            <w:pPr>
              <w:pStyle w:val="NormalWeb"/>
              <w:rPr>
                <w:b/>
                <w:bCs/>
                <w:color w:val="000000"/>
              </w:rPr>
            </w:pPr>
          </w:p>
        </w:tc>
        <w:tc>
          <w:tcPr>
            <w:tcW w:w="2113" w:type="dxa"/>
            <w:noWrap/>
            <w:hideMark/>
          </w:tcPr>
          <w:p w14:paraId="140E6023" w14:textId="77777777" w:rsidR="003C7E61" w:rsidRPr="003C7E61" w:rsidRDefault="003C7E61" w:rsidP="003C7E61">
            <w:pPr>
              <w:pStyle w:val="NormalWeb"/>
              <w:rPr>
                <w:color w:val="000000"/>
              </w:rPr>
            </w:pPr>
          </w:p>
        </w:tc>
        <w:tc>
          <w:tcPr>
            <w:tcW w:w="1195" w:type="dxa"/>
            <w:noWrap/>
            <w:hideMark/>
          </w:tcPr>
          <w:p w14:paraId="068ADA5D" w14:textId="77777777" w:rsidR="003C7E61" w:rsidRPr="003C7E61" w:rsidRDefault="003C7E61" w:rsidP="003C7E61">
            <w:pPr>
              <w:pStyle w:val="NormalWeb"/>
              <w:rPr>
                <w:color w:val="000000"/>
              </w:rPr>
            </w:pPr>
          </w:p>
        </w:tc>
        <w:tc>
          <w:tcPr>
            <w:tcW w:w="754" w:type="dxa"/>
            <w:noWrap/>
            <w:hideMark/>
          </w:tcPr>
          <w:p w14:paraId="17E7C561" w14:textId="77777777" w:rsidR="003C7E61" w:rsidRPr="003C7E61" w:rsidRDefault="003C7E61" w:rsidP="003C7E61">
            <w:pPr>
              <w:pStyle w:val="NormalWeb"/>
              <w:rPr>
                <w:color w:val="000000"/>
              </w:rPr>
            </w:pPr>
          </w:p>
        </w:tc>
        <w:tc>
          <w:tcPr>
            <w:tcW w:w="858" w:type="dxa"/>
            <w:noWrap/>
            <w:hideMark/>
          </w:tcPr>
          <w:p w14:paraId="318BD86E" w14:textId="77777777" w:rsidR="003C7E61" w:rsidRPr="003C7E61" w:rsidRDefault="003C7E61" w:rsidP="003C7E61">
            <w:pPr>
              <w:pStyle w:val="NormalWeb"/>
              <w:rPr>
                <w:color w:val="000000"/>
              </w:rPr>
            </w:pPr>
          </w:p>
        </w:tc>
        <w:tc>
          <w:tcPr>
            <w:tcW w:w="858" w:type="dxa"/>
            <w:noWrap/>
            <w:hideMark/>
          </w:tcPr>
          <w:p w14:paraId="5CFAC4A8" w14:textId="77777777" w:rsidR="003C7E61" w:rsidRPr="003C7E61" w:rsidRDefault="003C7E61" w:rsidP="003C7E61">
            <w:pPr>
              <w:pStyle w:val="NormalWeb"/>
              <w:rPr>
                <w:color w:val="000000"/>
              </w:rPr>
            </w:pPr>
          </w:p>
        </w:tc>
        <w:tc>
          <w:tcPr>
            <w:tcW w:w="858" w:type="dxa"/>
            <w:noWrap/>
            <w:hideMark/>
          </w:tcPr>
          <w:p w14:paraId="1B5752ED" w14:textId="77777777" w:rsidR="003C7E61" w:rsidRPr="003C7E61" w:rsidRDefault="003C7E61" w:rsidP="003C7E61">
            <w:pPr>
              <w:pStyle w:val="NormalWeb"/>
              <w:rPr>
                <w:color w:val="000000"/>
              </w:rPr>
            </w:pPr>
          </w:p>
        </w:tc>
        <w:tc>
          <w:tcPr>
            <w:tcW w:w="858" w:type="dxa"/>
            <w:noWrap/>
            <w:hideMark/>
          </w:tcPr>
          <w:p w14:paraId="0015052D" w14:textId="77777777" w:rsidR="003C7E61" w:rsidRPr="003C7E61" w:rsidRDefault="003C7E61" w:rsidP="003C7E61">
            <w:pPr>
              <w:pStyle w:val="NormalWeb"/>
              <w:rPr>
                <w:color w:val="000000"/>
              </w:rPr>
            </w:pPr>
          </w:p>
        </w:tc>
        <w:tc>
          <w:tcPr>
            <w:tcW w:w="858" w:type="dxa"/>
            <w:noWrap/>
            <w:hideMark/>
          </w:tcPr>
          <w:p w14:paraId="41742FDE" w14:textId="77777777" w:rsidR="003C7E61" w:rsidRPr="003C7E61" w:rsidRDefault="003C7E61" w:rsidP="003C7E61">
            <w:pPr>
              <w:pStyle w:val="NormalWeb"/>
              <w:rPr>
                <w:color w:val="000000"/>
              </w:rPr>
            </w:pPr>
          </w:p>
        </w:tc>
        <w:tc>
          <w:tcPr>
            <w:tcW w:w="858" w:type="dxa"/>
            <w:noWrap/>
            <w:hideMark/>
          </w:tcPr>
          <w:p w14:paraId="215D2B0C" w14:textId="77777777" w:rsidR="003C7E61" w:rsidRPr="003C7E61" w:rsidRDefault="003C7E61" w:rsidP="003C7E61">
            <w:pPr>
              <w:pStyle w:val="NormalWeb"/>
              <w:rPr>
                <w:color w:val="000000"/>
              </w:rPr>
            </w:pPr>
          </w:p>
        </w:tc>
        <w:tc>
          <w:tcPr>
            <w:tcW w:w="788" w:type="dxa"/>
            <w:noWrap/>
            <w:hideMark/>
          </w:tcPr>
          <w:p w14:paraId="0E4932D8" w14:textId="77777777" w:rsidR="003C7E61" w:rsidRPr="003C7E61" w:rsidRDefault="003C7E61" w:rsidP="003C7E61">
            <w:pPr>
              <w:pStyle w:val="NormalWeb"/>
              <w:rPr>
                <w:color w:val="000000"/>
              </w:rPr>
            </w:pPr>
          </w:p>
        </w:tc>
        <w:tc>
          <w:tcPr>
            <w:tcW w:w="840" w:type="dxa"/>
            <w:noWrap/>
            <w:hideMark/>
          </w:tcPr>
          <w:p w14:paraId="293046E3" w14:textId="77777777" w:rsidR="003C7E61" w:rsidRPr="003C7E61" w:rsidRDefault="003C7E61" w:rsidP="003C7E61">
            <w:pPr>
              <w:pStyle w:val="NormalWeb"/>
              <w:rPr>
                <w:color w:val="000000"/>
              </w:rPr>
            </w:pPr>
          </w:p>
        </w:tc>
      </w:tr>
      <w:tr w:rsidR="003C7E61" w:rsidRPr="003C7E61" w14:paraId="3B8BFC9F" w14:textId="77777777" w:rsidTr="001A1F15">
        <w:trPr>
          <w:trHeight w:val="290"/>
        </w:trPr>
        <w:tc>
          <w:tcPr>
            <w:tcW w:w="2112" w:type="dxa"/>
            <w:noWrap/>
            <w:hideMark/>
          </w:tcPr>
          <w:p w14:paraId="20ABABEC" w14:textId="77777777" w:rsidR="003C7E61" w:rsidRPr="003C7E61" w:rsidRDefault="003C7E61" w:rsidP="003C7E61">
            <w:pPr>
              <w:pStyle w:val="NormalWeb"/>
              <w:rPr>
                <w:color w:val="000000"/>
              </w:rPr>
            </w:pPr>
            <w:r w:rsidRPr="003C7E61">
              <w:rPr>
                <w:color w:val="000000"/>
              </w:rPr>
              <w:t>Early Childhood</w:t>
            </w:r>
          </w:p>
        </w:tc>
        <w:tc>
          <w:tcPr>
            <w:tcW w:w="2113" w:type="dxa"/>
            <w:noWrap/>
            <w:hideMark/>
          </w:tcPr>
          <w:p w14:paraId="74EF34ED" w14:textId="77777777" w:rsidR="003C7E61" w:rsidRPr="003C7E61" w:rsidRDefault="003C7E61" w:rsidP="003C7E61">
            <w:pPr>
              <w:pStyle w:val="NormalWeb"/>
              <w:rPr>
                <w:color w:val="000000"/>
              </w:rPr>
            </w:pPr>
            <w:r w:rsidRPr="003C7E61">
              <w:rPr>
                <w:color w:val="000000"/>
              </w:rPr>
              <w:t>White</w:t>
            </w:r>
          </w:p>
        </w:tc>
        <w:tc>
          <w:tcPr>
            <w:tcW w:w="1195" w:type="dxa"/>
            <w:noWrap/>
            <w:hideMark/>
          </w:tcPr>
          <w:p w14:paraId="17CE7125" w14:textId="77777777" w:rsidR="003C7E61" w:rsidRPr="003C7E61" w:rsidRDefault="003C7E61" w:rsidP="003C7E61">
            <w:pPr>
              <w:pStyle w:val="NormalWeb"/>
              <w:rPr>
                <w:color w:val="000000"/>
              </w:rPr>
            </w:pPr>
            <w:r w:rsidRPr="003C7E61">
              <w:rPr>
                <w:color w:val="000000"/>
              </w:rPr>
              <w:t>Female</w:t>
            </w:r>
          </w:p>
        </w:tc>
        <w:tc>
          <w:tcPr>
            <w:tcW w:w="754" w:type="dxa"/>
            <w:noWrap/>
            <w:hideMark/>
          </w:tcPr>
          <w:p w14:paraId="65D75475"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10CFF94E"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159BCEED"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155E064F"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5324BE9E"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43B19CE6"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0FDCF3CE" w14:textId="77777777" w:rsidR="003C7E61" w:rsidRPr="003C7E61" w:rsidRDefault="003C7E61" w:rsidP="003C7E61">
            <w:pPr>
              <w:pStyle w:val="NormalWeb"/>
              <w:rPr>
                <w:color w:val="000000"/>
              </w:rPr>
            </w:pPr>
            <w:r w:rsidRPr="003C7E61">
              <w:rPr>
                <w:color w:val="000000"/>
              </w:rPr>
              <w:t>4.00</w:t>
            </w:r>
          </w:p>
        </w:tc>
        <w:tc>
          <w:tcPr>
            <w:tcW w:w="788" w:type="dxa"/>
            <w:noWrap/>
            <w:hideMark/>
          </w:tcPr>
          <w:p w14:paraId="2A81EDEB" w14:textId="77777777" w:rsidR="003C7E61" w:rsidRPr="003C7E61" w:rsidRDefault="003C7E61" w:rsidP="003C7E61">
            <w:pPr>
              <w:pStyle w:val="NormalWeb"/>
              <w:rPr>
                <w:color w:val="000000"/>
              </w:rPr>
            </w:pPr>
            <w:r w:rsidRPr="003C7E61">
              <w:rPr>
                <w:color w:val="000000"/>
              </w:rPr>
              <w:t>4.00</w:t>
            </w:r>
          </w:p>
        </w:tc>
        <w:tc>
          <w:tcPr>
            <w:tcW w:w="840" w:type="dxa"/>
            <w:noWrap/>
            <w:hideMark/>
          </w:tcPr>
          <w:p w14:paraId="5591202B" w14:textId="77777777" w:rsidR="003C7E61" w:rsidRPr="003C7E61" w:rsidRDefault="003C7E61" w:rsidP="003C7E61">
            <w:pPr>
              <w:pStyle w:val="NormalWeb"/>
              <w:rPr>
                <w:color w:val="000000"/>
              </w:rPr>
            </w:pPr>
            <w:r w:rsidRPr="003C7E61">
              <w:rPr>
                <w:color w:val="000000"/>
              </w:rPr>
              <w:t>4.00</w:t>
            </w:r>
          </w:p>
        </w:tc>
      </w:tr>
      <w:tr w:rsidR="003C7E61" w:rsidRPr="003C7E61" w14:paraId="4D955803" w14:textId="77777777" w:rsidTr="001A1F15">
        <w:trPr>
          <w:trHeight w:val="290"/>
        </w:trPr>
        <w:tc>
          <w:tcPr>
            <w:tcW w:w="2112" w:type="dxa"/>
            <w:noWrap/>
            <w:hideMark/>
          </w:tcPr>
          <w:p w14:paraId="046721ED" w14:textId="77777777" w:rsidR="003C7E61" w:rsidRPr="003C7E61" w:rsidRDefault="003C7E61" w:rsidP="003C7E61">
            <w:pPr>
              <w:pStyle w:val="NormalWeb"/>
              <w:rPr>
                <w:color w:val="000000"/>
              </w:rPr>
            </w:pPr>
            <w:r w:rsidRPr="003C7E61">
              <w:rPr>
                <w:color w:val="000000"/>
              </w:rPr>
              <w:t>Social Studies 9-12</w:t>
            </w:r>
          </w:p>
        </w:tc>
        <w:tc>
          <w:tcPr>
            <w:tcW w:w="2113" w:type="dxa"/>
            <w:noWrap/>
            <w:hideMark/>
          </w:tcPr>
          <w:p w14:paraId="038D437D" w14:textId="77777777" w:rsidR="003C7E61" w:rsidRPr="003C7E61" w:rsidRDefault="003C7E61" w:rsidP="003C7E61">
            <w:pPr>
              <w:pStyle w:val="NormalWeb"/>
              <w:rPr>
                <w:color w:val="000000"/>
              </w:rPr>
            </w:pPr>
            <w:r w:rsidRPr="003C7E61">
              <w:rPr>
                <w:color w:val="000000"/>
              </w:rPr>
              <w:t>White</w:t>
            </w:r>
          </w:p>
        </w:tc>
        <w:tc>
          <w:tcPr>
            <w:tcW w:w="1195" w:type="dxa"/>
            <w:noWrap/>
            <w:hideMark/>
          </w:tcPr>
          <w:p w14:paraId="5D62C356" w14:textId="77777777" w:rsidR="003C7E61" w:rsidRPr="003C7E61" w:rsidRDefault="003C7E61" w:rsidP="003C7E61">
            <w:pPr>
              <w:pStyle w:val="NormalWeb"/>
              <w:rPr>
                <w:color w:val="000000"/>
              </w:rPr>
            </w:pPr>
            <w:r w:rsidRPr="003C7E61">
              <w:rPr>
                <w:color w:val="000000"/>
              </w:rPr>
              <w:t>Male</w:t>
            </w:r>
          </w:p>
        </w:tc>
        <w:tc>
          <w:tcPr>
            <w:tcW w:w="754" w:type="dxa"/>
            <w:noWrap/>
            <w:hideMark/>
          </w:tcPr>
          <w:p w14:paraId="30ECAB89"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027D72D3"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21AACA24"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3019977B"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60D51057"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68E0BE75"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10F77B14" w14:textId="77777777" w:rsidR="003C7E61" w:rsidRPr="003C7E61" w:rsidRDefault="003C7E61" w:rsidP="003C7E61">
            <w:pPr>
              <w:pStyle w:val="NormalWeb"/>
              <w:rPr>
                <w:color w:val="000000"/>
              </w:rPr>
            </w:pPr>
            <w:r w:rsidRPr="003C7E61">
              <w:rPr>
                <w:color w:val="000000"/>
              </w:rPr>
              <w:t>4.00</w:t>
            </w:r>
          </w:p>
        </w:tc>
        <w:tc>
          <w:tcPr>
            <w:tcW w:w="788" w:type="dxa"/>
            <w:noWrap/>
            <w:hideMark/>
          </w:tcPr>
          <w:p w14:paraId="01396950" w14:textId="77777777" w:rsidR="003C7E61" w:rsidRPr="003C7E61" w:rsidRDefault="003C7E61" w:rsidP="003C7E61">
            <w:pPr>
              <w:pStyle w:val="NormalWeb"/>
              <w:rPr>
                <w:color w:val="000000"/>
              </w:rPr>
            </w:pPr>
            <w:r w:rsidRPr="003C7E61">
              <w:rPr>
                <w:color w:val="000000"/>
              </w:rPr>
              <w:t>4.00</w:t>
            </w:r>
          </w:p>
        </w:tc>
        <w:tc>
          <w:tcPr>
            <w:tcW w:w="840" w:type="dxa"/>
            <w:noWrap/>
            <w:hideMark/>
          </w:tcPr>
          <w:p w14:paraId="1289DAA3" w14:textId="77777777" w:rsidR="003C7E61" w:rsidRPr="003C7E61" w:rsidRDefault="003C7E61" w:rsidP="003C7E61">
            <w:pPr>
              <w:pStyle w:val="NormalWeb"/>
              <w:rPr>
                <w:color w:val="000000"/>
              </w:rPr>
            </w:pPr>
            <w:r w:rsidRPr="003C7E61">
              <w:rPr>
                <w:color w:val="000000"/>
              </w:rPr>
              <w:t>4.00</w:t>
            </w:r>
          </w:p>
        </w:tc>
      </w:tr>
      <w:tr w:rsidR="003C7E61" w:rsidRPr="003C7E61" w14:paraId="2C83DE91" w14:textId="77777777" w:rsidTr="001A1F15">
        <w:trPr>
          <w:trHeight w:val="290"/>
        </w:trPr>
        <w:tc>
          <w:tcPr>
            <w:tcW w:w="2112" w:type="dxa"/>
            <w:noWrap/>
            <w:hideMark/>
          </w:tcPr>
          <w:p w14:paraId="755E444A" w14:textId="77777777" w:rsidR="003C7E61" w:rsidRPr="003C7E61" w:rsidRDefault="003C7E61" w:rsidP="003C7E61">
            <w:pPr>
              <w:pStyle w:val="NormalWeb"/>
              <w:rPr>
                <w:color w:val="000000"/>
              </w:rPr>
            </w:pPr>
            <w:r w:rsidRPr="003C7E61">
              <w:rPr>
                <w:color w:val="000000"/>
              </w:rPr>
              <w:t>Art K-12</w:t>
            </w:r>
          </w:p>
        </w:tc>
        <w:tc>
          <w:tcPr>
            <w:tcW w:w="2113" w:type="dxa"/>
            <w:noWrap/>
            <w:hideMark/>
          </w:tcPr>
          <w:p w14:paraId="3C6EC145" w14:textId="77777777" w:rsidR="003C7E61" w:rsidRPr="003C7E61" w:rsidRDefault="003C7E61" w:rsidP="003C7E61">
            <w:pPr>
              <w:pStyle w:val="NormalWeb"/>
              <w:rPr>
                <w:color w:val="000000"/>
              </w:rPr>
            </w:pPr>
            <w:r w:rsidRPr="003C7E61">
              <w:rPr>
                <w:color w:val="000000"/>
              </w:rPr>
              <w:t>White</w:t>
            </w:r>
          </w:p>
        </w:tc>
        <w:tc>
          <w:tcPr>
            <w:tcW w:w="1195" w:type="dxa"/>
            <w:noWrap/>
            <w:hideMark/>
          </w:tcPr>
          <w:p w14:paraId="7FF94D9A" w14:textId="77777777" w:rsidR="003C7E61" w:rsidRPr="003C7E61" w:rsidRDefault="003C7E61" w:rsidP="003C7E61">
            <w:pPr>
              <w:pStyle w:val="NormalWeb"/>
              <w:rPr>
                <w:color w:val="000000"/>
              </w:rPr>
            </w:pPr>
            <w:r w:rsidRPr="003C7E61">
              <w:rPr>
                <w:color w:val="000000"/>
              </w:rPr>
              <w:t>Female</w:t>
            </w:r>
          </w:p>
        </w:tc>
        <w:tc>
          <w:tcPr>
            <w:tcW w:w="754" w:type="dxa"/>
            <w:noWrap/>
            <w:hideMark/>
          </w:tcPr>
          <w:p w14:paraId="1A230F79"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4E15589E"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23F58010"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1C3EB769"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2D0F0991"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34EED206"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48FBFB8F" w14:textId="77777777" w:rsidR="003C7E61" w:rsidRPr="003C7E61" w:rsidRDefault="003C7E61" w:rsidP="003C7E61">
            <w:pPr>
              <w:pStyle w:val="NormalWeb"/>
              <w:rPr>
                <w:color w:val="000000"/>
              </w:rPr>
            </w:pPr>
            <w:r w:rsidRPr="003C7E61">
              <w:rPr>
                <w:color w:val="000000"/>
              </w:rPr>
              <w:t>3.00</w:t>
            </w:r>
          </w:p>
        </w:tc>
        <w:tc>
          <w:tcPr>
            <w:tcW w:w="788" w:type="dxa"/>
            <w:noWrap/>
            <w:hideMark/>
          </w:tcPr>
          <w:p w14:paraId="05EE6C74" w14:textId="77777777" w:rsidR="003C7E61" w:rsidRPr="003C7E61" w:rsidRDefault="003C7E61" w:rsidP="003C7E61">
            <w:pPr>
              <w:pStyle w:val="NormalWeb"/>
              <w:rPr>
                <w:color w:val="000000"/>
              </w:rPr>
            </w:pPr>
            <w:r w:rsidRPr="003C7E61">
              <w:rPr>
                <w:color w:val="000000"/>
              </w:rPr>
              <w:t>3.00</w:t>
            </w:r>
          </w:p>
        </w:tc>
        <w:tc>
          <w:tcPr>
            <w:tcW w:w="840" w:type="dxa"/>
            <w:noWrap/>
            <w:hideMark/>
          </w:tcPr>
          <w:p w14:paraId="26C346E7" w14:textId="77777777" w:rsidR="003C7E61" w:rsidRPr="003C7E61" w:rsidRDefault="003C7E61" w:rsidP="003C7E61">
            <w:pPr>
              <w:pStyle w:val="NormalWeb"/>
              <w:rPr>
                <w:color w:val="000000"/>
              </w:rPr>
            </w:pPr>
            <w:r w:rsidRPr="003C7E61">
              <w:rPr>
                <w:color w:val="000000"/>
              </w:rPr>
              <w:t>3.00</w:t>
            </w:r>
          </w:p>
        </w:tc>
      </w:tr>
      <w:tr w:rsidR="003C7E61" w:rsidRPr="003C7E61" w14:paraId="27E58020" w14:textId="77777777" w:rsidTr="001A1F15">
        <w:trPr>
          <w:trHeight w:val="290"/>
        </w:trPr>
        <w:tc>
          <w:tcPr>
            <w:tcW w:w="2112" w:type="dxa"/>
            <w:noWrap/>
            <w:hideMark/>
          </w:tcPr>
          <w:p w14:paraId="59FE2190" w14:textId="77777777" w:rsidR="003C7E61" w:rsidRPr="003C7E61" w:rsidRDefault="003C7E61" w:rsidP="003C7E61">
            <w:pPr>
              <w:pStyle w:val="NormalWeb"/>
              <w:rPr>
                <w:color w:val="000000"/>
              </w:rPr>
            </w:pPr>
            <w:r w:rsidRPr="003C7E61">
              <w:rPr>
                <w:color w:val="000000"/>
              </w:rPr>
              <w:t>Physical Education K-12</w:t>
            </w:r>
          </w:p>
        </w:tc>
        <w:tc>
          <w:tcPr>
            <w:tcW w:w="2113" w:type="dxa"/>
            <w:noWrap/>
            <w:hideMark/>
          </w:tcPr>
          <w:p w14:paraId="055A76B2" w14:textId="77777777" w:rsidR="003C7E61" w:rsidRPr="003C7E61" w:rsidRDefault="003C7E61" w:rsidP="003C7E61">
            <w:pPr>
              <w:pStyle w:val="NormalWeb"/>
              <w:rPr>
                <w:color w:val="000000"/>
              </w:rPr>
            </w:pPr>
            <w:r w:rsidRPr="003C7E61">
              <w:rPr>
                <w:color w:val="000000"/>
              </w:rPr>
              <w:t>White</w:t>
            </w:r>
          </w:p>
        </w:tc>
        <w:tc>
          <w:tcPr>
            <w:tcW w:w="1195" w:type="dxa"/>
            <w:noWrap/>
            <w:hideMark/>
          </w:tcPr>
          <w:p w14:paraId="7A8834EC" w14:textId="77777777" w:rsidR="003C7E61" w:rsidRPr="003C7E61" w:rsidRDefault="003C7E61" w:rsidP="003C7E61">
            <w:pPr>
              <w:pStyle w:val="NormalWeb"/>
              <w:rPr>
                <w:color w:val="000000"/>
              </w:rPr>
            </w:pPr>
            <w:r w:rsidRPr="003C7E61">
              <w:rPr>
                <w:color w:val="000000"/>
              </w:rPr>
              <w:t>Female</w:t>
            </w:r>
          </w:p>
        </w:tc>
        <w:tc>
          <w:tcPr>
            <w:tcW w:w="754" w:type="dxa"/>
            <w:noWrap/>
            <w:hideMark/>
          </w:tcPr>
          <w:p w14:paraId="56632CA8"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35B50AAA"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7D66E93B"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700E7597"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75C2171E"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31FDBE14"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6E71D98F" w14:textId="77777777" w:rsidR="003C7E61" w:rsidRPr="003C7E61" w:rsidRDefault="003C7E61" w:rsidP="003C7E61">
            <w:pPr>
              <w:pStyle w:val="NormalWeb"/>
              <w:rPr>
                <w:color w:val="000000"/>
              </w:rPr>
            </w:pPr>
            <w:r w:rsidRPr="003C7E61">
              <w:rPr>
                <w:color w:val="000000"/>
              </w:rPr>
              <w:t>3.00</w:t>
            </w:r>
          </w:p>
        </w:tc>
        <w:tc>
          <w:tcPr>
            <w:tcW w:w="788" w:type="dxa"/>
            <w:noWrap/>
            <w:hideMark/>
          </w:tcPr>
          <w:p w14:paraId="20B42A0E" w14:textId="77777777" w:rsidR="003C7E61" w:rsidRPr="003C7E61" w:rsidRDefault="003C7E61" w:rsidP="003C7E61">
            <w:pPr>
              <w:pStyle w:val="NormalWeb"/>
              <w:rPr>
                <w:color w:val="000000"/>
              </w:rPr>
            </w:pPr>
            <w:r w:rsidRPr="003C7E61">
              <w:rPr>
                <w:color w:val="000000"/>
              </w:rPr>
              <w:t>4.00</w:t>
            </w:r>
          </w:p>
        </w:tc>
        <w:tc>
          <w:tcPr>
            <w:tcW w:w="840" w:type="dxa"/>
            <w:noWrap/>
            <w:hideMark/>
          </w:tcPr>
          <w:p w14:paraId="3ABE0C2A" w14:textId="77777777" w:rsidR="003C7E61" w:rsidRPr="003C7E61" w:rsidRDefault="003C7E61" w:rsidP="003C7E61">
            <w:pPr>
              <w:pStyle w:val="NormalWeb"/>
              <w:rPr>
                <w:color w:val="000000"/>
              </w:rPr>
            </w:pPr>
            <w:r w:rsidRPr="003C7E61">
              <w:rPr>
                <w:color w:val="000000"/>
              </w:rPr>
              <w:t>4.00</w:t>
            </w:r>
          </w:p>
        </w:tc>
      </w:tr>
      <w:tr w:rsidR="003C7E61" w:rsidRPr="003C7E61" w14:paraId="104CB613" w14:textId="77777777" w:rsidTr="001A1F15">
        <w:trPr>
          <w:trHeight w:val="290"/>
        </w:trPr>
        <w:tc>
          <w:tcPr>
            <w:tcW w:w="2112" w:type="dxa"/>
            <w:noWrap/>
            <w:hideMark/>
          </w:tcPr>
          <w:p w14:paraId="2A710F70" w14:textId="77777777" w:rsidR="003C7E61" w:rsidRPr="003C7E61" w:rsidRDefault="003C7E61" w:rsidP="003C7E61">
            <w:pPr>
              <w:pStyle w:val="NormalWeb"/>
              <w:rPr>
                <w:color w:val="000000"/>
              </w:rPr>
            </w:pPr>
            <w:r w:rsidRPr="003C7E61">
              <w:rPr>
                <w:color w:val="000000"/>
              </w:rPr>
              <w:t>Early Childhood</w:t>
            </w:r>
          </w:p>
        </w:tc>
        <w:tc>
          <w:tcPr>
            <w:tcW w:w="2113" w:type="dxa"/>
            <w:noWrap/>
            <w:hideMark/>
          </w:tcPr>
          <w:p w14:paraId="4E69FDEC" w14:textId="77777777" w:rsidR="003C7E61" w:rsidRPr="003C7E61" w:rsidRDefault="003C7E61" w:rsidP="003C7E61">
            <w:pPr>
              <w:pStyle w:val="NormalWeb"/>
              <w:rPr>
                <w:color w:val="000000"/>
              </w:rPr>
            </w:pPr>
            <w:r w:rsidRPr="003C7E61">
              <w:rPr>
                <w:color w:val="000000"/>
              </w:rPr>
              <w:t>White</w:t>
            </w:r>
          </w:p>
        </w:tc>
        <w:tc>
          <w:tcPr>
            <w:tcW w:w="1195" w:type="dxa"/>
            <w:noWrap/>
            <w:hideMark/>
          </w:tcPr>
          <w:p w14:paraId="533F3674" w14:textId="77777777" w:rsidR="003C7E61" w:rsidRPr="003C7E61" w:rsidRDefault="003C7E61" w:rsidP="003C7E61">
            <w:pPr>
              <w:pStyle w:val="NormalWeb"/>
              <w:rPr>
                <w:color w:val="000000"/>
              </w:rPr>
            </w:pPr>
            <w:r w:rsidRPr="003C7E61">
              <w:rPr>
                <w:color w:val="000000"/>
              </w:rPr>
              <w:t>Female</w:t>
            </w:r>
          </w:p>
        </w:tc>
        <w:tc>
          <w:tcPr>
            <w:tcW w:w="754" w:type="dxa"/>
            <w:noWrap/>
            <w:hideMark/>
          </w:tcPr>
          <w:p w14:paraId="3B18D350"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426F6F5E"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481031AE"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304EB375"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564761C6"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0B7ED3B5"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1B8C7403" w14:textId="77777777" w:rsidR="003C7E61" w:rsidRPr="003C7E61" w:rsidRDefault="003C7E61" w:rsidP="003C7E61">
            <w:pPr>
              <w:pStyle w:val="NormalWeb"/>
              <w:rPr>
                <w:color w:val="000000"/>
              </w:rPr>
            </w:pPr>
            <w:r w:rsidRPr="003C7E61">
              <w:rPr>
                <w:color w:val="000000"/>
              </w:rPr>
              <w:t>3.00</w:t>
            </w:r>
          </w:p>
        </w:tc>
        <w:tc>
          <w:tcPr>
            <w:tcW w:w="788" w:type="dxa"/>
            <w:noWrap/>
            <w:hideMark/>
          </w:tcPr>
          <w:p w14:paraId="764B65D6" w14:textId="77777777" w:rsidR="003C7E61" w:rsidRPr="003C7E61" w:rsidRDefault="003C7E61" w:rsidP="003C7E61">
            <w:pPr>
              <w:pStyle w:val="NormalWeb"/>
              <w:rPr>
                <w:color w:val="000000"/>
              </w:rPr>
            </w:pPr>
            <w:r w:rsidRPr="003C7E61">
              <w:rPr>
                <w:color w:val="000000"/>
              </w:rPr>
              <w:t>4.00</w:t>
            </w:r>
          </w:p>
        </w:tc>
        <w:tc>
          <w:tcPr>
            <w:tcW w:w="840" w:type="dxa"/>
            <w:noWrap/>
            <w:hideMark/>
          </w:tcPr>
          <w:p w14:paraId="458EBF46" w14:textId="77777777" w:rsidR="003C7E61" w:rsidRPr="003C7E61" w:rsidRDefault="003C7E61" w:rsidP="003C7E61">
            <w:pPr>
              <w:pStyle w:val="NormalWeb"/>
              <w:rPr>
                <w:color w:val="000000"/>
              </w:rPr>
            </w:pPr>
            <w:r w:rsidRPr="003C7E61">
              <w:rPr>
                <w:color w:val="000000"/>
              </w:rPr>
              <w:t>3.00</w:t>
            </w:r>
          </w:p>
        </w:tc>
      </w:tr>
      <w:tr w:rsidR="003C7E61" w:rsidRPr="003C7E61" w14:paraId="3530D6BE" w14:textId="77777777" w:rsidTr="001A1F15">
        <w:trPr>
          <w:trHeight w:val="290"/>
        </w:trPr>
        <w:tc>
          <w:tcPr>
            <w:tcW w:w="2112" w:type="dxa"/>
            <w:noWrap/>
            <w:hideMark/>
          </w:tcPr>
          <w:p w14:paraId="69F1C1FA" w14:textId="77777777" w:rsidR="003C7E61" w:rsidRPr="003C7E61" w:rsidRDefault="003C7E61" w:rsidP="003C7E61">
            <w:pPr>
              <w:pStyle w:val="NormalWeb"/>
              <w:rPr>
                <w:color w:val="000000"/>
              </w:rPr>
            </w:pPr>
            <w:r w:rsidRPr="003C7E61">
              <w:rPr>
                <w:color w:val="000000"/>
              </w:rPr>
              <w:t>Music: Vocal K-12</w:t>
            </w:r>
          </w:p>
        </w:tc>
        <w:tc>
          <w:tcPr>
            <w:tcW w:w="2113" w:type="dxa"/>
            <w:noWrap/>
            <w:hideMark/>
          </w:tcPr>
          <w:p w14:paraId="7AAB942B" w14:textId="77777777" w:rsidR="003C7E61" w:rsidRPr="003C7E61" w:rsidRDefault="003C7E61" w:rsidP="003C7E61">
            <w:pPr>
              <w:pStyle w:val="NormalWeb"/>
              <w:rPr>
                <w:color w:val="000000"/>
              </w:rPr>
            </w:pPr>
            <w:r w:rsidRPr="003C7E61">
              <w:rPr>
                <w:color w:val="000000"/>
              </w:rPr>
              <w:t>Black or African American</w:t>
            </w:r>
          </w:p>
        </w:tc>
        <w:tc>
          <w:tcPr>
            <w:tcW w:w="1195" w:type="dxa"/>
            <w:noWrap/>
            <w:hideMark/>
          </w:tcPr>
          <w:p w14:paraId="23603B98" w14:textId="77777777" w:rsidR="003C7E61" w:rsidRPr="003C7E61" w:rsidRDefault="003C7E61" w:rsidP="003C7E61">
            <w:pPr>
              <w:pStyle w:val="NormalWeb"/>
              <w:rPr>
                <w:color w:val="000000"/>
              </w:rPr>
            </w:pPr>
            <w:r w:rsidRPr="003C7E61">
              <w:rPr>
                <w:color w:val="000000"/>
              </w:rPr>
              <w:t>Male</w:t>
            </w:r>
          </w:p>
        </w:tc>
        <w:tc>
          <w:tcPr>
            <w:tcW w:w="754" w:type="dxa"/>
            <w:noWrap/>
            <w:hideMark/>
          </w:tcPr>
          <w:p w14:paraId="3DDB075E"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16B67020"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6FF84055"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21C8EC60"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3420DD24"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6BD085BE" w14:textId="77777777" w:rsidR="003C7E61" w:rsidRPr="003C7E61" w:rsidRDefault="003C7E61" w:rsidP="003C7E61">
            <w:pPr>
              <w:pStyle w:val="NormalWeb"/>
              <w:rPr>
                <w:color w:val="000000"/>
              </w:rPr>
            </w:pPr>
            <w:r w:rsidRPr="003C7E61">
              <w:rPr>
                <w:color w:val="000000"/>
              </w:rPr>
              <w:t>2.00</w:t>
            </w:r>
          </w:p>
        </w:tc>
        <w:tc>
          <w:tcPr>
            <w:tcW w:w="858" w:type="dxa"/>
            <w:noWrap/>
            <w:hideMark/>
          </w:tcPr>
          <w:p w14:paraId="39A7B7CB" w14:textId="77777777" w:rsidR="003C7E61" w:rsidRPr="003C7E61" w:rsidRDefault="003C7E61" w:rsidP="003C7E61">
            <w:pPr>
              <w:pStyle w:val="NormalWeb"/>
              <w:rPr>
                <w:color w:val="000000"/>
              </w:rPr>
            </w:pPr>
            <w:r w:rsidRPr="003C7E61">
              <w:rPr>
                <w:color w:val="000000"/>
              </w:rPr>
              <w:t>2.00</w:t>
            </w:r>
          </w:p>
        </w:tc>
        <w:tc>
          <w:tcPr>
            <w:tcW w:w="788" w:type="dxa"/>
            <w:noWrap/>
            <w:hideMark/>
          </w:tcPr>
          <w:p w14:paraId="7242C4A1" w14:textId="77777777" w:rsidR="003C7E61" w:rsidRPr="003C7E61" w:rsidRDefault="003C7E61" w:rsidP="003C7E61">
            <w:pPr>
              <w:pStyle w:val="NormalWeb"/>
              <w:rPr>
                <w:color w:val="000000"/>
              </w:rPr>
            </w:pPr>
            <w:r w:rsidRPr="003C7E61">
              <w:rPr>
                <w:color w:val="000000"/>
              </w:rPr>
              <w:t>3.00</w:t>
            </w:r>
          </w:p>
        </w:tc>
        <w:tc>
          <w:tcPr>
            <w:tcW w:w="840" w:type="dxa"/>
            <w:noWrap/>
            <w:hideMark/>
          </w:tcPr>
          <w:p w14:paraId="067E452F" w14:textId="77777777" w:rsidR="003C7E61" w:rsidRPr="003C7E61" w:rsidRDefault="003C7E61" w:rsidP="003C7E61">
            <w:pPr>
              <w:pStyle w:val="NormalWeb"/>
              <w:rPr>
                <w:color w:val="000000"/>
              </w:rPr>
            </w:pPr>
            <w:r w:rsidRPr="003C7E61">
              <w:rPr>
                <w:color w:val="000000"/>
              </w:rPr>
              <w:t>4.00</w:t>
            </w:r>
          </w:p>
        </w:tc>
      </w:tr>
      <w:tr w:rsidR="003C7E61" w:rsidRPr="003C7E61" w14:paraId="22CACF41" w14:textId="77777777" w:rsidTr="001A1F15">
        <w:trPr>
          <w:trHeight w:val="290"/>
        </w:trPr>
        <w:tc>
          <w:tcPr>
            <w:tcW w:w="2112" w:type="dxa"/>
            <w:noWrap/>
            <w:hideMark/>
          </w:tcPr>
          <w:p w14:paraId="2DAB197B" w14:textId="77777777" w:rsidR="003C7E61" w:rsidRPr="003C7E61" w:rsidRDefault="003C7E61" w:rsidP="003C7E61">
            <w:pPr>
              <w:pStyle w:val="NormalWeb"/>
              <w:rPr>
                <w:color w:val="000000"/>
              </w:rPr>
            </w:pPr>
            <w:r w:rsidRPr="003C7E61">
              <w:rPr>
                <w:color w:val="000000"/>
              </w:rPr>
              <w:t>Elementary</w:t>
            </w:r>
          </w:p>
        </w:tc>
        <w:tc>
          <w:tcPr>
            <w:tcW w:w="2113" w:type="dxa"/>
            <w:noWrap/>
            <w:hideMark/>
          </w:tcPr>
          <w:p w14:paraId="17FD5116" w14:textId="77777777" w:rsidR="003C7E61" w:rsidRPr="003C7E61" w:rsidRDefault="003C7E61" w:rsidP="003C7E61">
            <w:pPr>
              <w:pStyle w:val="NormalWeb"/>
              <w:rPr>
                <w:color w:val="000000"/>
              </w:rPr>
            </w:pPr>
            <w:r w:rsidRPr="003C7E61">
              <w:rPr>
                <w:color w:val="000000"/>
              </w:rPr>
              <w:t>White</w:t>
            </w:r>
          </w:p>
        </w:tc>
        <w:tc>
          <w:tcPr>
            <w:tcW w:w="1195" w:type="dxa"/>
            <w:noWrap/>
            <w:hideMark/>
          </w:tcPr>
          <w:p w14:paraId="6C1C84D1" w14:textId="77777777" w:rsidR="003C7E61" w:rsidRPr="003C7E61" w:rsidRDefault="003C7E61" w:rsidP="003C7E61">
            <w:pPr>
              <w:pStyle w:val="NormalWeb"/>
              <w:rPr>
                <w:color w:val="000000"/>
              </w:rPr>
            </w:pPr>
            <w:r w:rsidRPr="003C7E61">
              <w:rPr>
                <w:color w:val="000000"/>
              </w:rPr>
              <w:t>Male</w:t>
            </w:r>
          </w:p>
        </w:tc>
        <w:tc>
          <w:tcPr>
            <w:tcW w:w="754" w:type="dxa"/>
            <w:noWrap/>
            <w:hideMark/>
          </w:tcPr>
          <w:p w14:paraId="1D203F3D" w14:textId="77777777" w:rsidR="003C7E61" w:rsidRPr="003C7E61" w:rsidRDefault="003C7E61" w:rsidP="003C7E61">
            <w:pPr>
              <w:pStyle w:val="NormalWeb"/>
              <w:rPr>
                <w:color w:val="000000"/>
              </w:rPr>
            </w:pPr>
            <w:r w:rsidRPr="003C7E61">
              <w:rPr>
                <w:color w:val="000000"/>
              </w:rPr>
              <w:t>3.00</w:t>
            </w:r>
          </w:p>
        </w:tc>
        <w:tc>
          <w:tcPr>
            <w:tcW w:w="858" w:type="dxa"/>
            <w:noWrap/>
            <w:hideMark/>
          </w:tcPr>
          <w:p w14:paraId="7926BDA1"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5E45CBB6"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36A4F9A2"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720980A2"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7198BD4F" w14:textId="77777777" w:rsidR="003C7E61" w:rsidRPr="003C7E61" w:rsidRDefault="003C7E61" w:rsidP="003C7E61">
            <w:pPr>
              <w:pStyle w:val="NormalWeb"/>
              <w:rPr>
                <w:color w:val="000000"/>
              </w:rPr>
            </w:pPr>
            <w:r w:rsidRPr="003C7E61">
              <w:rPr>
                <w:color w:val="000000"/>
              </w:rPr>
              <w:t>4.00</w:t>
            </w:r>
          </w:p>
        </w:tc>
        <w:tc>
          <w:tcPr>
            <w:tcW w:w="858" w:type="dxa"/>
            <w:noWrap/>
            <w:hideMark/>
          </w:tcPr>
          <w:p w14:paraId="0BA386A6" w14:textId="77777777" w:rsidR="003C7E61" w:rsidRPr="003C7E61" w:rsidRDefault="003C7E61" w:rsidP="003C7E61">
            <w:pPr>
              <w:pStyle w:val="NormalWeb"/>
              <w:rPr>
                <w:color w:val="000000"/>
              </w:rPr>
            </w:pPr>
            <w:r w:rsidRPr="003C7E61">
              <w:rPr>
                <w:color w:val="000000"/>
              </w:rPr>
              <w:t>4.00</w:t>
            </w:r>
          </w:p>
        </w:tc>
        <w:tc>
          <w:tcPr>
            <w:tcW w:w="788" w:type="dxa"/>
            <w:noWrap/>
            <w:hideMark/>
          </w:tcPr>
          <w:p w14:paraId="1B714707" w14:textId="77777777" w:rsidR="003C7E61" w:rsidRPr="003C7E61" w:rsidRDefault="003C7E61" w:rsidP="003C7E61">
            <w:pPr>
              <w:pStyle w:val="NormalWeb"/>
              <w:rPr>
                <w:color w:val="000000"/>
              </w:rPr>
            </w:pPr>
            <w:r w:rsidRPr="003C7E61">
              <w:rPr>
                <w:color w:val="000000"/>
              </w:rPr>
              <w:t>4.00</w:t>
            </w:r>
          </w:p>
        </w:tc>
        <w:tc>
          <w:tcPr>
            <w:tcW w:w="840" w:type="dxa"/>
            <w:noWrap/>
            <w:hideMark/>
          </w:tcPr>
          <w:p w14:paraId="63BE9E46" w14:textId="77777777" w:rsidR="003C7E61" w:rsidRPr="003C7E61" w:rsidRDefault="003C7E61" w:rsidP="003C7E61">
            <w:pPr>
              <w:pStyle w:val="NormalWeb"/>
              <w:rPr>
                <w:color w:val="000000"/>
              </w:rPr>
            </w:pPr>
            <w:r w:rsidRPr="003C7E61">
              <w:rPr>
                <w:color w:val="000000"/>
              </w:rPr>
              <w:t>4.00</w:t>
            </w:r>
          </w:p>
        </w:tc>
      </w:tr>
      <w:tr w:rsidR="003C7E61" w:rsidRPr="003C7E61" w14:paraId="6FF7E9DE" w14:textId="77777777" w:rsidTr="001A1F15">
        <w:trPr>
          <w:trHeight w:val="290"/>
        </w:trPr>
        <w:tc>
          <w:tcPr>
            <w:tcW w:w="2112" w:type="dxa"/>
            <w:noWrap/>
            <w:hideMark/>
          </w:tcPr>
          <w:p w14:paraId="597DB2B3" w14:textId="77777777" w:rsidR="003C7E61" w:rsidRPr="003C7E61" w:rsidRDefault="003C7E61" w:rsidP="003C7E61">
            <w:pPr>
              <w:pStyle w:val="NormalWeb"/>
              <w:rPr>
                <w:color w:val="000000"/>
              </w:rPr>
            </w:pPr>
            <w:r w:rsidRPr="003C7E61">
              <w:rPr>
                <w:color w:val="000000"/>
              </w:rPr>
              <w:t>Social Studies 9-12</w:t>
            </w:r>
          </w:p>
        </w:tc>
        <w:tc>
          <w:tcPr>
            <w:tcW w:w="2113" w:type="dxa"/>
            <w:noWrap/>
            <w:hideMark/>
          </w:tcPr>
          <w:p w14:paraId="463D5ECF" w14:textId="77777777" w:rsidR="003C7E61" w:rsidRPr="003C7E61" w:rsidRDefault="003C7E61" w:rsidP="003C7E61">
            <w:pPr>
              <w:pStyle w:val="NormalWeb"/>
              <w:rPr>
                <w:color w:val="000000"/>
              </w:rPr>
            </w:pPr>
            <w:r w:rsidRPr="003C7E61">
              <w:rPr>
                <w:color w:val="000000"/>
              </w:rPr>
              <w:t>White</w:t>
            </w:r>
          </w:p>
        </w:tc>
        <w:tc>
          <w:tcPr>
            <w:tcW w:w="1195" w:type="dxa"/>
            <w:noWrap/>
            <w:hideMark/>
          </w:tcPr>
          <w:p w14:paraId="3B6B069D" w14:textId="77777777" w:rsidR="003C7E61" w:rsidRPr="003C7E61" w:rsidRDefault="003C7E61" w:rsidP="003C7E61">
            <w:pPr>
              <w:pStyle w:val="NormalWeb"/>
              <w:rPr>
                <w:color w:val="000000"/>
              </w:rPr>
            </w:pPr>
            <w:r w:rsidRPr="003C7E61">
              <w:rPr>
                <w:color w:val="000000"/>
              </w:rPr>
              <w:t>Female</w:t>
            </w:r>
          </w:p>
        </w:tc>
        <w:tc>
          <w:tcPr>
            <w:tcW w:w="754" w:type="dxa"/>
            <w:noWrap/>
            <w:hideMark/>
          </w:tcPr>
          <w:p w14:paraId="13E97F98" w14:textId="77777777" w:rsidR="003C7E61" w:rsidRPr="003C7E61" w:rsidRDefault="003C7E61" w:rsidP="003C7E61">
            <w:pPr>
              <w:pStyle w:val="NormalWeb"/>
              <w:rPr>
                <w:color w:val="000000"/>
              </w:rPr>
            </w:pPr>
            <w:r w:rsidRPr="003C7E61">
              <w:rPr>
                <w:color w:val="000000"/>
              </w:rPr>
              <w:t>***</w:t>
            </w:r>
          </w:p>
        </w:tc>
        <w:tc>
          <w:tcPr>
            <w:tcW w:w="858" w:type="dxa"/>
            <w:noWrap/>
            <w:hideMark/>
          </w:tcPr>
          <w:p w14:paraId="7FD0936D" w14:textId="77777777" w:rsidR="003C7E61" w:rsidRPr="003C7E61" w:rsidRDefault="003C7E61" w:rsidP="003C7E61">
            <w:pPr>
              <w:pStyle w:val="NormalWeb"/>
              <w:rPr>
                <w:color w:val="000000"/>
              </w:rPr>
            </w:pPr>
            <w:r w:rsidRPr="003C7E61">
              <w:rPr>
                <w:color w:val="000000"/>
              </w:rPr>
              <w:t>***</w:t>
            </w:r>
          </w:p>
        </w:tc>
        <w:tc>
          <w:tcPr>
            <w:tcW w:w="858" w:type="dxa"/>
            <w:noWrap/>
            <w:hideMark/>
          </w:tcPr>
          <w:p w14:paraId="7FB4B90D" w14:textId="77777777" w:rsidR="003C7E61" w:rsidRPr="003C7E61" w:rsidRDefault="003C7E61" w:rsidP="003C7E61">
            <w:pPr>
              <w:pStyle w:val="NormalWeb"/>
              <w:rPr>
                <w:color w:val="000000"/>
              </w:rPr>
            </w:pPr>
            <w:r w:rsidRPr="003C7E61">
              <w:rPr>
                <w:color w:val="000000"/>
              </w:rPr>
              <w:t>***</w:t>
            </w:r>
          </w:p>
        </w:tc>
        <w:tc>
          <w:tcPr>
            <w:tcW w:w="858" w:type="dxa"/>
            <w:noWrap/>
            <w:hideMark/>
          </w:tcPr>
          <w:p w14:paraId="532C1CAF" w14:textId="77777777" w:rsidR="003C7E61" w:rsidRPr="003C7E61" w:rsidRDefault="003C7E61" w:rsidP="003C7E61">
            <w:pPr>
              <w:pStyle w:val="NormalWeb"/>
              <w:rPr>
                <w:color w:val="000000"/>
              </w:rPr>
            </w:pPr>
            <w:r w:rsidRPr="003C7E61">
              <w:rPr>
                <w:color w:val="000000"/>
              </w:rPr>
              <w:t>***</w:t>
            </w:r>
          </w:p>
        </w:tc>
        <w:tc>
          <w:tcPr>
            <w:tcW w:w="858" w:type="dxa"/>
            <w:noWrap/>
            <w:hideMark/>
          </w:tcPr>
          <w:p w14:paraId="5E55543E" w14:textId="77777777" w:rsidR="003C7E61" w:rsidRPr="003C7E61" w:rsidRDefault="003C7E61" w:rsidP="003C7E61">
            <w:pPr>
              <w:pStyle w:val="NormalWeb"/>
              <w:rPr>
                <w:color w:val="000000"/>
              </w:rPr>
            </w:pPr>
            <w:r w:rsidRPr="003C7E61">
              <w:rPr>
                <w:color w:val="000000"/>
              </w:rPr>
              <w:t>***</w:t>
            </w:r>
          </w:p>
        </w:tc>
        <w:tc>
          <w:tcPr>
            <w:tcW w:w="858" w:type="dxa"/>
            <w:noWrap/>
            <w:hideMark/>
          </w:tcPr>
          <w:p w14:paraId="0A8DB33B" w14:textId="77777777" w:rsidR="003C7E61" w:rsidRPr="003C7E61" w:rsidRDefault="003C7E61" w:rsidP="003C7E61">
            <w:pPr>
              <w:pStyle w:val="NormalWeb"/>
              <w:rPr>
                <w:color w:val="000000"/>
              </w:rPr>
            </w:pPr>
            <w:r w:rsidRPr="003C7E61">
              <w:rPr>
                <w:color w:val="000000"/>
              </w:rPr>
              <w:t>***</w:t>
            </w:r>
          </w:p>
        </w:tc>
        <w:tc>
          <w:tcPr>
            <w:tcW w:w="858" w:type="dxa"/>
            <w:noWrap/>
            <w:hideMark/>
          </w:tcPr>
          <w:p w14:paraId="792196B4" w14:textId="77777777" w:rsidR="003C7E61" w:rsidRPr="003C7E61" w:rsidRDefault="003C7E61" w:rsidP="003C7E61">
            <w:pPr>
              <w:pStyle w:val="NormalWeb"/>
              <w:rPr>
                <w:color w:val="000000"/>
              </w:rPr>
            </w:pPr>
            <w:r w:rsidRPr="003C7E61">
              <w:rPr>
                <w:color w:val="000000"/>
              </w:rPr>
              <w:t>***</w:t>
            </w:r>
          </w:p>
        </w:tc>
        <w:tc>
          <w:tcPr>
            <w:tcW w:w="788" w:type="dxa"/>
            <w:noWrap/>
            <w:hideMark/>
          </w:tcPr>
          <w:p w14:paraId="189F610B" w14:textId="77777777" w:rsidR="003C7E61" w:rsidRPr="003C7E61" w:rsidRDefault="003C7E61" w:rsidP="003C7E61">
            <w:pPr>
              <w:pStyle w:val="NormalWeb"/>
              <w:rPr>
                <w:color w:val="000000"/>
              </w:rPr>
            </w:pPr>
            <w:r w:rsidRPr="003C7E61">
              <w:rPr>
                <w:color w:val="000000"/>
              </w:rPr>
              <w:t>***</w:t>
            </w:r>
          </w:p>
        </w:tc>
        <w:tc>
          <w:tcPr>
            <w:tcW w:w="840" w:type="dxa"/>
            <w:noWrap/>
            <w:hideMark/>
          </w:tcPr>
          <w:p w14:paraId="355A9AF8" w14:textId="77777777" w:rsidR="003C7E61" w:rsidRPr="003C7E61" w:rsidRDefault="003C7E61" w:rsidP="003C7E61">
            <w:pPr>
              <w:pStyle w:val="NormalWeb"/>
              <w:rPr>
                <w:color w:val="000000"/>
              </w:rPr>
            </w:pPr>
            <w:r w:rsidRPr="003C7E61">
              <w:rPr>
                <w:color w:val="000000"/>
              </w:rPr>
              <w:t>***</w:t>
            </w:r>
          </w:p>
        </w:tc>
      </w:tr>
      <w:tr w:rsidR="003C7E61" w:rsidRPr="003C7E61" w14:paraId="248AE64F" w14:textId="77777777" w:rsidTr="001A1F15">
        <w:trPr>
          <w:trHeight w:val="290"/>
        </w:trPr>
        <w:tc>
          <w:tcPr>
            <w:tcW w:w="2112" w:type="dxa"/>
            <w:noWrap/>
            <w:hideMark/>
          </w:tcPr>
          <w:p w14:paraId="14D3D852" w14:textId="77777777" w:rsidR="003C7E61" w:rsidRPr="003C7E61" w:rsidRDefault="003C7E61" w:rsidP="003C7E61">
            <w:pPr>
              <w:pStyle w:val="NormalWeb"/>
              <w:rPr>
                <w:color w:val="000000"/>
              </w:rPr>
            </w:pPr>
            <w:r w:rsidRPr="003C7E61">
              <w:rPr>
                <w:color w:val="000000"/>
              </w:rPr>
              <w:t>Social Studies 9-12</w:t>
            </w:r>
          </w:p>
        </w:tc>
        <w:tc>
          <w:tcPr>
            <w:tcW w:w="2113" w:type="dxa"/>
            <w:noWrap/>
            <w:hideMark/>
          </w:tcPr>
          <w:p w14:paraId="1E1E8035" w14:textId="77777777" w:rsidR="003C7E61" w:rsidRPr="003C7E61" w:rsidRDefault="003C7E61" w:rsidP="003C7E61">
            <w:pPr>
              <w:pStyle w:val="NormalWeb"/>
              <w:rPr>
                <w:color w:val="000000"/>
              </w:rPr>
            </w:pPr>
            <w:r w:rsidRPr="003C7E61">
              <w:rPr>
                <w:color w:val="000000"/>
              </w:rPr>
              <w:t>White</w:t>
            </w:r>
          </w:p>
        </w:tc>
        <w:tc>
          <w:tcPr>
            <w:tcW w:w="1195" w:type="dxa"/>
            <w:noWrap/>
            <w:hideMark/>
          </w:tcPr>
          <w:p w14:paraId="1329307F" w14:textId="77777777" w:rsidR="003C7E61" w:rsidRPr="003C7E61" w:rsidRDefault="003C7E61" w:rsidP="003C7E61">
            <w:pPr>
              <w:pStyle w:val="NormalWeb"/>
              <w:rPr>
                <w:color w:val="000000"/>
              </w:rPr>
            </w:pPr>
            <w:r w:rsidRPr="003C7E61">
              <w:rPr>
                <w:color w:val="000000"/>
              </w:rPr>
              <w:t>Female</w:t>
            </w:r>
          </w:p>
        </w:tc>
        <w:tc>
          <w:tcPr>
            <w:tcW w:w="754" w:type="dxa"/>
            <w:noWrap/>
            <w:hideMark/>
          </w:tcPr>
          <w:p w14:paraId="2E36374D" w14:textId="77777777" w:rsidR="003C7E61" w:rsidRPr="003C7E61" w:rsidRDefault="003C7E61" w:rsidP="003C7E61">
            <w:pPr>
              <w:pStyle w:val="NormalWeb"/>
              <w:rPr>
                <w:color w:val="000000"/>
              </w:rPr>
            </w:pPr>
            <w:r w:rsidRPr="003C7E61">
              <w:rPr>
                <w:color w:val="000000"/>
              </w:rPr>
              <w:t>***</w:t>
            </w:r>
          </w:p>
        </w:tc>
        <w:tc>
          <w:tcPr>
            <w:tcW w:w="858" w:type="dxa"/>
            <w:noWrap/>
            <w:hideMark/>
          </w:tcPr>
          <w:p w14:paraId="70F46388" w14:textId="77777777" w:rsidR="003C7E61" w:rsidRPr="003C7E61" w:rsidRDefault="003C7E61" w:rsidP="003C7E61">
            <w:pPr>
              <w:pStyle w:val="NormalWeb"/>
              <w:rPr>
                <w:color w:val="000000"/>
              </w:rPr>
            </w:pPr>
            <w:r w:rsidRPr="003C7E61">
              <w:rPr>
                <w:color w:val="000000"/>
              </w:rPr>
              <w:t>***</w:t>
            </w:r>
          </w:p>
        </w:tc>
        <w:tc>
          <w:tcPr>
            <w:tcW w:w="858" w:type="dxa"/>
            <w:noWrap/>
            <w:hideMark/>
          </w:tcPr>
          <w:p w14:paraId="6A9B3B16" w14:textId="77777777" w:rsidR="003C7E61" w:rsidRPr="003C7E61" w:rsidRDefault="003C7E61" w:rsidP="003C7E61">
            <w:pPr>
              <w:pStyle w:val="NormalWeb"/>
              <w:rPr>
                <w:color w:val="000000"/>
              </w:rPr>
            </w:pPr>
            <w:r w:rsidRPr="003C7E61">
              <w:rPr>
                <w:color w:val="000000"/>
              </w:rPr>
              <w:t>***</w:t>
            </w:r>
          </w:p>
        </w:tc>
        <w:tc>
          <w:tcPr>
            <w:tcW w:w="858" w:type="dxa"/>
            <w:noWrap/>
            <w:hideMark/>
          </w:tcPr>
          <w:p w14:paraId="60369D5F" w14:textId="77777777" w:rsidR="003C7E61" w:rsidRPr="003C7E61" w:rsidRDefault="003C7E61" w:rsidP="003C7E61">
            <w:pPr>
              <w:pStyle w:val="NormalWeb"/>
              <w:rPr>
                <w:color w:val="000000"/>
              </w:rPr>
            </w:pPr>
            <w:r w:rsidRPr="003C7E61">
              <w:rPr>
                <w:color w:val="000000"/>
              </w:rPr>
              <w:t>***</w:t>
            </w:r>
          </w:p>
        </w:tc>
        <w:tc>
          <w:tcPr>
            <w:tcW w:w="858" w:type="dxa"/>
            <w:noWrap/>
            <w:hideMark/>
          </w:tcPr>
          <w:p w14:paraId="2A40324F" w14:textId="77777777" w:rsidR="003C7E61" w:rsidRPr="003C7E61" w:rsidRDefault="003C7E61" w:rsidP="003C7E61">
            <w:pPr>
              <w:pStyle w:val="NormalWeb"/>
              <w:rPr>
                <w:color w:val="000000"/>
              </w:rPr>
            </w:pPr>
            <w:r w:rsidRPr="003C7E61">
              <w:rPr>
                <w:color w:val="000000"/>
              </w:rPr>
              <w:t>***</w:t>
            </w:r>
          </w:p>
        </w:tc>
        <w:tc>
          <w:tcPr>
            <w:tcW w:w="858" w:type="dxa"/>
            <w:noWrap/>
            <w:hideMark/>
          </w:tcPr>
          <w:p w14:paraId="7BD6D0A5" w14:textId="77777777" w:rsidR="003C7E61" w:rsidRPr="003C7E61" w:rsidRDefault="003C7E61" w:rsidP="003C7E61">
            <w:pPr>
              <w:pStyle w:val="NormalWeb"/>
              <w:rPr>
                <w:color w:val="000000"/>
              </w:rPr>
            </w:pPr>
            <w:r w:rsidRPr="003C7E61">
              <w:rPr>
                <w:color w:val="000000"/>
              </w:rPr>
              <w:t>***</w:t>
            </w:r>
          </w:p>
        </w:tc>
        <w:tc>
          <w:tcPr>
            <w:tcW w:w="858" w:type="dxa"/>
            <w:noWrap/>
            <w:hideMark/>
          </w:tcPr>
          <w:p w14:paraId="7B0F42DF" w14:textId="77777777" w:rsidR="003C7E61" w:rsidRPr="003C7E61" w:rsidRDefault="003C7E61" w:rsidP="003C7E61">
            <w:pPr>
              <w:pStyle w:val="NormalWeb"/>
              <w:rPr>
                <w:color w:val="000000"/>
              </w:rPr>
            </w:pPr>
            <w:r w:rsidRPr="003C7E61">
              <w:rPr>
                <w:color w:val="000000"/>
              </w:rPr>
              <w:t>***</w:t>
            </w:r>
          </w:p>
        </w:tc>
        <w:tc>
          <w:tcPr>
            <w:tcW w:w="788" w:type="dxa"/>
            <w:noWrap/>
            <w:hideMark/>
          </w:tcPr>
          <w:p w14:paraId="13856BD0" w14:textId="77777777" w:rsidR="003C7E61" w:rsidRPr="003C7E61" w:rsidRDefault="003C7E61" w:rsidP="003C7E61">
            <w:pPr>
              <w:pStyle w:val="NormalWeb"/>
              <w:rPr>
                <w:color w:val="000000"/>
              </w:rPr>
            </w:pPr>
            <w:r w:rsidRPr="003C7E61">
              <w:rPr>
                <w:color w:val="000000"/>
              </w:rPr>
              <w:t>***</w:t>
            </w:r>
          </w:p>
        </w:tc>
        <w:tc>
          <w:tcPr>
            <w:tcW w:w="840" w:type="dxa"/>
            <w:noWrap/>
            <w:hideMark/>
          </w:tcPr>
          <w:p w14:paraId="0085B55A" w14:textId="77777777" w:rsidR="003C7E61" w:rsidRPr="003C7E61" w:rsidRDefault="003C7E61" w:rsidP="003C7E61">
            <w:pPr>
              <w:pStyle w:val="NormalWeb"/>
              <w:rPr>
                <w:color w:val="000000"/>
              </w:rPr>
            </w:pPr>
            <w:r w:rsidRPr="003C7E61">
              <w:rPr>
                <w:color w:val="000000"/>
              </w:rPr>
              <w:t>***</w:t>
            </w:r>
          </w:p>
        </w:tc>
      </w:tr>
    </w:tbl>
    <w:p w14:paraId="43271BEF" w14:textId="4A561C97" w:rsidR="00E4107C" w:rsidRPr="003C7E61" w:rsidRDefault="003C7E61" w:rsidP="001A1F15">
      <w:pPr>
        <w:pStyle w:val="NormalWeb"/>
        <w:ind w:left="5040" w:firstLine="720"/>
        <w:rPr>
          <w:color w:val="000000"/>
        </w:rPr>
      </w:pPr>
      <w:r>
        <w:rPr>
          <w:color w:val="000000"/>
        </w:rPr>
        <w:t>*** I prefer not to say (response)</w:t>
      </w:r>
    </w:p>
    <w:p w14:paraId="73D5935D" w14:textId="77777777" w:rsidR="00E4107C" w:rsidRDefault="00E4107C" w:rsidP="00907C26">
      <w:pPr>
        <w:pStyle w:val="NormalWeb"/>
        <w:rPr>
          <w:color w:val="000000"/>
        </w:rPr>
      </w:pPr>
    </w:p>
    <w:p w14:paraId="5A931364" w14:textId="0A0F8267" w:rsidR="00222E5C" w:rsidRPr="00C808F2" w:rsidRDefault="00222E5C" w:rsidP="00222E5C">
      <w:pPr>
        <w:pStyle w:val="NormalWeb"/>
        <w:rPr>
          <w:b/>
          <w:bCs/>
          <w:color w:val="000000"/>
          <w:sz w:val="28"/>
          <w:szCs w:val="28"/>
          <w:u w:val="single"/>
        </w:rPr>
      </w:pPr>
      <w:r w:rsidRPr="00C808F2">
        <w:rPr>
          <w:b/>
          <w:bCs/>
          <w:color w:val="000000"/>
          <w:sz w:val="28"/>
          <w:szCs w:val="28"/>
          <w:u w:val="single"/>
        </w:rPr>
        <w:lastRenderedPageBreak/>
        <w:t>First-Year Teacher's Principal Evaluation 2024</w:t>
      </w:r>
    </w:p>
    <w:p w14:paraId="575BD3DF" w14:textId="2E3BEDB6" w:rsidR="00222E5C" w:rsidRPr="00222E5C" w:rsidRDefault="00222E5C" w:rsidP="00222E5C">
      <w:pPr>
        <w:pStyle w:val="NormalWeb"/>
        <w:rPr>
          <w:color w:val="000000"/>
        </w:rPr>
      </w:pPr>
      <w:r w:rsidRPr="00222E5C">
        <w:rPr>
          <w:color w:val="000000"/>
        </w:rPr>
        <w:t>Principals rated Lindenwood graduates highly across all standards, with mean scores ranging from 3.62 to 3.96 on a 5-point scale. The highest rated standards were:</w:t>
      </w:r>
    </w:p>
    <w:p w14:paraId="78DBE51B" w14:textId="35D0C426" w:rsidR="00222E5C" w:rsidRPr="00222E5C" w:rsidRDefault="00222E5C" w:rsidP="00222E5C">
      <w:pPr>
        <w:pStyle w:val="NormalWeb"/>
        <w:numPr>
          <w:ilvl w:val="0"/>
          <w:numId w:val="4"/>
        </w:numPr>
        <w:rPr>
          <w:color w:val="000000"/>
        </w:rPr>
      </w:pPr>
      <w:r w:rsidRPr="00222E5C">
        <w:rPr>
          <w:color w:val="000000"/>
        </w:rPr>
        <w:t>Standard 6 (Effective Communication): 3.96</w:t>
      </w:r>
    </w:p>
    <w:p w14:paraId="26F12782" w14:textId="00A0E1D8" w:rsidR="00222E5C" w:rsidRPr="00222E5C" w:rsidRDefault="00222E5C" w:rsidP="00222E5C">
      <w:pPr>
        <w:pStyle w:val="NormalWeb"/>
        <w:numPr>
          <w:ilvl w:val="0"/>
          <w:numId w:val="4"/>
        </w:numPr>
        <w:rPr>
          <w:color w:val="000000"/>
        </w:rPr>
      </w:pPr>
      <w:r w:rsidRPr="00222E5C">
        <w:rPr>
          <w:color w:val="000000"/>
        </w:rPr>
        <w:t>Standard 5 (Positive Classroom Environment): 3.93</w:t>
      </w:r>
    </w:p>
    <w:p w14:paraId="0C8572E2" w14:textId="3704D371" w:rsidR="00222E5C" w:rsidRPr="00222E5C" w:rsidRDefault="00222E5C" w:rsidP="00222E5C">
      <w:pPr>
        <w:pStyle w:val="NormalWeb"/>
        <w:numPr>
          <w:ilvl w:val="0"/>
          <w:numId w:val="4"/>
        </w:numPr>
        <w:rPr>
          <w:color w:val="000000"/>
        </w:rPr>
      </w:pPr>
      <w:r w:rsidRPr="00222E5C">
        <w:rPr>
          <w:color w:val="000000"/>
        </w:rPr>
        <w:t>Standard 9 (Professional Collaboration): 3.89</w:t>
      </w:r>
    </w:p>
    <w:p w14:paraId="05A4A51D" w14:textId="4F835576" w:rsidR="00222E5C" w:rsidRPr="00222E5C" w:rsidRDefault="00F161F8" w:rsidP="00222E5C">
      <w:pPr>
        <w:pStyle w:val="NormalWeb"/>
        <w:rPr>
          <w:color w:val="000000"/>
        </w:rPr>
      </w:pPr>
      <w:r w:rsidRPr="00222E5C">
        <w:rPr>
          <w:color w:val="000000"/>
        </w:rPr>
        <w:t>Seventy-nine percent</w:t>
      </w:r>
      <w:r w:rsidR="00222E5C" w:rsidRPr="00222E5C">
        <w:rPr>
          <w:color w:val="000000"/>
        </w:rPr>
        <w:t xml:space="preserve"> of principals rated first-year teachers as "Effective" (54%) or "Highly Effective" (25%) in their impact upon students. </w:t>
      </w:r>
      <w:r w:rsidRPr="00222E5C">
        <w:rPr>
          <w:color w:val="000000"/>
        </w:rPr>
        <w:t>Eighty-one percent</w:t>
      </w:r>
      <w:r w:rsidR="00222E5C" w:rsidRPr="00222E5C">
        <w:rPr>
          <w:color w:val="000000"/>
        </w:rPr>
        <w:t xml:space="preserve"> rated them as "Effective" (54%) or "Highly Effective" (27%) in achieving expected levels of student growth.</w:t>
      </w:r>
    </w:p>
    <w:p w14:paraId="185EF705" w14:textId="77777777" w:rsidR="00222E5C" w:rsidRPr="00222E5C" w:rsidRDefault="00222E5C" w:rsidP="00222E5C">
      <w:pPr>
        <w:pStyle w:val="NormalWeb"/>
        <w:rPr>
          <w:color w:val="000000"/>
        </w:rPr>
      </w:pPr>
      <w:r w:rsidRPr="00222E5C">
        <w:rPr>
          <w:color w:val="000000"/>
        </w:rPr>
        <w:t>The strong principal ratings validate alumni self-perceptions of effectiveness and impact, confirming that our graduates successfully apply their preparation to foster student learning.</w:t>
      </w:r>
    </w:p>
    <w:p w14:paraId="0E37381C" w14:textId="77777777" w:rsidR="00222E5C" w:rsidRPr="00222E5C" w:rsidRDefault="00222E5C" w:rsidP="00222E5C">
      <w:pPr>
        <w:pStyle w:val="NormalWeb"/>
        <w:rPr>
          <w:color w:val="000000"/>
        </w:rPr>
      </w:pPr>
      <w:r w:rsidRPr="00222E5C">
        <w:rPr>
          <w:color w:val="000000"/>
        </w:rPr>
        <w:t>This alignment between alumni self-perception and principal evaluation demonstrates consistency in our program's strengths, particularly in communication, professionalism, and collaboration.</w:t>
      </w:r>
    </w:p>
    <w:p w14:paraId="5545FE04" w14:textId="77777777" w:rsidR="00C808F2" w:rsidRDefault="00C808F2" w:rsidP="004D6479">
      <w:pPr>
        <w:pStyle w:val="NormalWeb"/>
        <w:rPr>
          <w:b/>
          <w:bCs/>
          <w:color w:val="000000"/>
          <w:sz w:val="28"/>
          <w:szCs w:val="28"/>
          <w:u w:val="single"/>
        </w:rPr>
      </w:pPr>
    </w:p>
    <w:p w14:paraId="0FD50BF0" w14:textId="77777777" w:rsidR="00C808F2" w:rsidRDefault="00C808F2" w:rsidP="004D6479">
      <w:pPr>
        <w:pStyle w:val="NormalWeb"/>
        <w:rPr>
          <w:b/>
          <w:bCs/>
          <w:color w:val="000000"/>
          <w:sz w:val="28"/>
          <w:szCs w:val="28"/>
          <w:u w:val="single"/>
        </w:rPr>
      </w:pPr>
    </w:p>
    <w:p w14:paraId="252F057F" w14:textId="77777777" w:rsidR="00C808F2" w:rsidRDefault="00C808F2" w:rsidP="004D6479">
      <w:pPr>
        <w:pStyle w:val="NormalWeb"/>
        <w:rPr>
          <w:b/>
          <w:bCs/>
          <w:color w:val="000000"/>
          <w:sz w:val="28"/>
          <w:szCs w:val="28"/>
          <w:u w:val="single"/>
        </w:rPr>
      </w:pPr>
    </w:p>
    <w:p w14:paraId="14803302" w14:textId="77777777" w:rsidR="00613BDF" w:rsidRDefault="00613BDF" w:rsidP="004D6479">
      <w:pPr>
        <w:pStyle w:val="NormalWeb"/>
        <w:rPr>
          <w:b/>
          <w:bCs/>
          <w:color w:val="000000"/>
          <w:sz w:val="28"/>
          <w:szCs w:val="28"/>
          <w:u w:val="single"/>
        </w:rPr>
      </w:pPr>
    </w:p>
    <w:p w14:paraId="50EC1EFB" w14:textId="77777777" w:rsidR="00C808F2" w:rsidRDefault="00C808F2" w:rsidP="004D6479">
      <w:pPr>
        <w:pStyle w:val="NormalWeb"/>
        <w:rPr>
          <w:b/>
          <w:bCs/>
          <w:color w:val="000000"/>
          <w:sz w:val="28"/>
          <w:szCs w:val="28"/>
          <w:u w:val="single"/>
        </w:rPr>
      </w:pPr>
    </w:p>
    <w:p w14:paraId="374044BB" w14:textId="77777777" w:rsidR="00C808F2" w:rsidRDefault="00C808F2" w:rsidP="004D6479">
      <w:pPr>
        <w:pStyle w:val="NormalWeb"/>
        <w:rPr>
          <w:b/>
          <w:bCs/>
          <w:color w:val="000000"/>
          <w:sz w:val="28"/>
          <w:szCs w:val="28"/>
          <w:u w:val="single"/>
        </w:rPr>
      </w:pPr>
    </w:p>
    <w:p w14:paraId="34F30251" w14:textId="03F16D88" w:rsidR="004D6479" w:rsidRPr="00C808F2" w:rsidRDefault="004D6479" w:rsidP="004D6479">
      <w:pPr>
        <w:pStyle w:val="NormalWeb"/>
        <w:rPr>
          <w:b/>
          <w:bCs/>
          <w:color w:val="000000"/>
          <w:sz w:val="28"/>
          <w:szCs w:val="28"/>
          <w:u w:val="single"/>
        </w:rPr>
      </w:pPr>
      <w:r w:rsidRPr="00C808F2">
        <w:rPr>
          <w:b/>
          <w:bCs/>
          <w:color w:val="000000"/>
          <w:sz w:val="28"/>
          <w:szCs w:val="28"/>
          <w:u w:val="single"/>
        </w:rPr>
        <w:lastRenderedPageBreak/>
        <w:t>Department Head Response</w:t>
      </w:r>
    </w:p>
    <w:p w14:paraId="69ACB6E3" w14:textId="77777777" w:rsidR="004D6479" w:rsidRPr="004D6479" w:rsidRDefault="004D6479" w:rsidP="004D6479">
      <w:pPr>
        <w:pStyle w:val="NormalWeb"/>
        <w:rPr>
          <w:color w:val="000000"/>
        </w:rPr>
      </w:pPr>
      <w:r w:rsidRPr="004D6479">
        <w:rPr>
          <w:color w:val="000000"/>
        </w:rPr>
        <w:t>The Department of Initial Teacher Education within the College of Education and Human Services conducted a comprehensive analysis of the Alumni Survey results, with significant contributions from faculty and adjunct instructors. Their collaborative review identified several key themes that will inform program improvements.</w:t>
      </w:r>
    </w:p>
    <w:p w14:paraId="21F11E06" w14:textId="77777777" w:rsidR="004D6479" w:rsidRDefault="004D6479" w:rsidP="004D6479">
      <w:pPr>
        <w:pStyle w:val="NormalWeb"/>
        <w:rPr>
          <w:color w:val="000000"/>
        </w:rPr>
      </w:pPr>
      <w:r w:rsidRPr="004D6479">
        <w:rPr>
          <w:color w:val="000000"/>
        </w:rPr>
        <w:t>Common themes for improvement emerged across all data sources. Classroom management appeared consistently as the primary challenge in both alumni feedback and principal evaluations. While principals rated positive classroom environment relatively well numerically (3.93/5.0), their open-ended comments frequently cited classroom management specifically as an ongoing challenge for first-year teachers.</w:t>
      </w:r>
    </w:p>
    <w:p w14:paraId="76127DEC" w14:textId="77777777" w:rsidR="004D6479" w:rsidRPr="004D6479" w:rsidRDefault="004D6479" w:rsidP="004D6479">
      <w:pPr>
        <w:pStyle w:val="NormalWeb"/>
        <w:rPr>
          <w:color w:val="000000"/>
        </w:rPr>
      </w:pPr>
      <w:r w:rsidRPr="004D6479">
        <w:rPr>
          <w:color w:val="000000"/>
        </w:rPr>
        <w:t>Both alumni and principals identified opportunities for strengthening preparation in literacy across all grades and content areas, including ESL/ELL strategies. Principal evaluations specifically highlighted lower ratings in modifying instruction for English language learners (3.36/5.0) and using knowledge of phonemic awareness, phonics, and vocabulary to effectively teach reading (3.29-3.39/5.0) for individual teachers.</w:t>
      </w:r>
    </w:p>
    <w:p w14:paraId="3E75B2EE" w14:textId="77777777" w:rsidR="004D6479" w:rsidRPr="004D6479" w:rsidRDefault="004D6479" w:rsidP="004D6479">
      <w:pPr>
        <w:pStyle w:val="NormalWeb"/>
        <w:rPr>
          <w:color w:val="000000"/>
        </w:rPr>
      </w:pPr>
      <w:r w:rsidRPr="004D6479">
        <w:rPr>
          <w:color w:val="000000"/>
        </w:rPr>
        <w:t>Multiple principals specifically mentioned the need for "trauma-informed training" and preparation for "meeting SEL needs of students," which aligned with alumni feedback. Graduates also reported challenges in balancing teaching with administrative responsibilities, which principals echoed in their comments about "juggling the planning of units."</w:t>
      </w:r>
    </w:p>
    <w:p w14:paraId="6DCC7E80" w14:textId="6B953C6D" w:rsidR="004D6479" w:rsidRPr="004D6479" w:rsidRDefault="004D6479" w:rsidP="004D6479">
      <w:pPr>
        <w:pStyle w:val="NormalWeb"/>
        <w:rPr>
          <w:color w:val="000000"/>
        </w:rPr>
      </w:pPr>
      <w:proofErr w:type="gramStart"/>
      <w:r w:rsidRPr="004D6479">
        <w:rPr>
          <w:color w:val="000000"/>
        </w:rPr>
        <w:t>Faculty</w:t>
      </w:r>
      <w:proofErr w:type="gramEnd"/>
      <w:r w:rsidRPr="004D6479">
        <w:rPr>
          <w:color w:val="000000"/>
        </w:rPr>
        <w:t xml:space="preserve"> review of the alumni survey highlighted several patterns and recommendations. Faculty noted our alumni demonstrate strong self-efficacy, content knowledge </w:t>
      </w:r>
      <w:r w:rsidR="003524EB" w:rsidRPr="004D6479">
        <w:rPr>
          <w:color w:val="000000"/>
        </w:rPr>
        <w:t>mastery, and</w:t>
      </w:r>
      <w:r w:rsidRPr="004D6479">
        <w:rPr>
          <w:color w:val="000000"/>
        </w:rPr>
        <w:t xml:space="preserve"> collaborative skills. As one faculty member observed, "Overall, they feel prepared to effectively teach in the P-12 classroom."</w:t>
      </w:r>
    </w:p>
    <w:p w14:paraId="591DF826" w14:textId="77777777" w:rsidR="004D6479" w:rsidRPr="004D6479" w:rsidRDefault="004D6479" w:rsidP="004D6479">
      <w:pPr>
        <w:pStyle w:val="NormalWeb"/>
        <w:rPr>
          <w:color w:val="000000"/>
        </w:rPr>
      </w:pPr>
      <w:r w:rsidRPr="004D6479">
        <w:rPr>
          <w:color w:val="000000"/>
        </w:rPr>
        <w:t>Faculty analysis confirmed the need for strengthened preparation in classroom management, time management, literacy instruction across content areas, including ELL/ESL preparation and SEL &amp; trauma-informed approaches.</w:t>
      </w:r>
    </w:p>
    <w:p w14:paraId="64CF9F3B" w14:textId="77777777" w:rsidR="00011BB7" w:rsidRDefault="00011BB7" w:rsidP="004D6479">
      <w:pPr>
        <w:pStyle w:val="NormalWeb"/>
        <w:rPr>
          <w:color w:val="000000"/>
        </w:rPr>
      </w:pPr>
    </w:p>
    <w:p w14:paraId="3EB0448B" w14:textId="77777777" w:rsidR="00011BB7" w:rsidRDefault="00011BB7" w:rsidP="004D6479">
      <w:pPr>
        <w:pStyle w:val="NormalWeb"/>
        <w:rPr>
          <w:color w:val="000000"/>
        </w:rPr>
      </w:pPr>
    </w:p>
    <w:p w14:paraId="6DC5A930" w14:textId="0C1C8F40" w:rsidR="004D6479" w:rsidRPr="004D6479" w:rsidRDefault="004D6479" w:rsidP="004D6479">
      <w:pPr>
        <w:pStyle w:val="NormalWeb"/>
        <w:rPr>
          <w:color w:val="000000"/>
        </w:rPr>
      </w:pPr>
      <w:r w:rsidRPr="004D6479">
        <w:rPr>
          <w:color w:val="000000"/>
        </w:rPr>
        <w:lastRenderedPageBreak/>
        <w:t>Based on this comprehensive analysis, the department has established several strategic goals:</w:t>
      </w:r>
    </w:p>
    <w:p w14:paraId="52F8790B" w14:textId="77777777" w:rsidR="004D6479" w:rsidRPr="004D6479" w:rsidRDefault="004D6479" w:rsidP="004D6479">
      <w:pPr>
        <w:pStyle w:val="NormalWeb"/>
        <w:ind w:firstLine="720"/>
        <w:rPr>
          <w:color w:val="000000"/>
        </w:rPr>
      </w:pPr>
      <w:r w:rsidRPr="004D6479">
        <w:rPr>
          <w:color w:val="000000"/>
        </w:rPr>
        <w:t>1. Classroom Management</w:t>
      </w:r>
    </w:p>
    <w:p w14:paraId="21487656" w14:textId="77777777" w:rsidR="004D6479" w:rsidRPr="004D6479" w:rsidRDefault="004D6479" w:rsidP="004D6479">
      <w:pPr>
        <w:pStyle w:val="NormalWeb"/>
        <w:ind w:firstLine="720"/>
        <w:rPr>
          <w:color w:val="000000"/>
        </w:rPr>
      </w:pPr>
      <w:r w:rsidRPr="004D6479">
        <w:rPr>
          <w:color w:val="000000"/>
        </w:rPr>
        <w:t>2. Time Management</w:t>
      </w:r>
    </w:p>
    <w:p w14:paraId="73F084D3" w14:textId="77777777" w:rsidR="004D6479" w:rsidRPr="004D6479" w:rsidRDefault="004D6479" w:rsidP="004D6479">
      <w:pPr>
        <w:pStyle w:val="NormalWeb"/>
        <w:ind w:firstLine="720"/>
        <w:rPr>
          <w:color w:val="000000"/>
        </w:rPr>
      </w:pPr>
      <w:r w:rsidRPr="004D6479">
        <w:rPr>
          <w:color w:val="000000"/>
        </w:rPr>
        <w:t>3. Literacy instruction across content areas, including ELL/ESL preparation</w:t>
      </w:r>
    </w:p>
    <w:p w14:paraId="6D248CB5" w14:textId="77777777" w:rsidR="004D6479" w:rsidRPr="004D6479" w:rsidRDefault="004D6479" w:rsidP="004D6479">
      <w:pPr>
        <w:pStyle w:val="NormalWeb"/>
        <w:ind w:firstLine="720"/>
        <w:rPr>
          <w:color w:val="000000"/>
        </w:rPr>
      </w:pPr>
      <w:r w:rsidRPr="004D6479">
        <w:rPr>
          <w:color w:val="000000"/>
        </w:rPr>
        <w:t>4. SEL &amp; Trauma-informed approaches</w:t>
      </w:r>
    </w:p>
    <w:p w14:paraId="2E36F7E9" w14:textId="77777777" w:rsidR="004D6479" w:rsidRPr="004D6479" w:rsidRDefault="004D6479" w:rsidP="004D6479">
      <w:pPr>
        <w:pStyle w:val="NormalWeb"/>
        <w:rPr>
          <w:color w:val="000000"/>
        </w:rPr>
      </w:pPr>
      <w:r w:rsidRPr="004D6479">
        <w:rPr>
          <w:color w:val="000000"/>
        </w:rPr>
        <w:t>These goals will inform the department's current refinement of Key Assessments, ensuring alignment between identified areas for growth and assessment practices. This strategic approach will create a more coherent pathway for program improvement and better prepare graduates for the realities of P-12 classrooms.</w:t>
      </w:r>
    </w:p>
    <w:p w14:paraId="0DD17EBD" w14:textId="67B7E8B5" w:rsidR="004D6479" w:rsidRPr="004D6479" w:rsidRDefault="004D6479" w:rsidP="004D6479">
      <w:pPr>
        <w:pStyle w:val="NormalWeb"/>
        <w:rPr>
          <w:color w:val="000000"/>
        </w:rPr>
      </w:pPr>
      <w:r w:rsidRPr="004D6479">
        <w:rPr>
          <w:color w:val="000000"/>
        </w:rPr>
        <w:t xml:space="preserve">In reviewing last year’s goals which included trauma informed practices, positive classroom environment and effectively communicating with parents, our graduates showed strongest performance in fostering positive student relationships (4.39/5.0), which was the highest-rated item in the positive classroom environment category. Overall communication with parents was rated </w:t>
      </w:r>
      <w:r w:rsidR="008858A2" w:rsidRPr="004D6479">
        <w:rPr>
          <w:color w:val="000000"/>
        </w:rPr>
        <w:t>well</w:t>
      </w:r>
      <w:r w:rsidRPr="004D6479">
        <w:rPr>
          <w:color w:val="000000"/>
        </w:rPr>
        <w:t xml:space="preserve"> at 3.89/5.0 by principals.</w:t>
      </w:r>
    </w:p>
    <w:p w14:paraId="723EDA3D" w14:textId="77777777" w:rsidR="004D6479" w:rsidRPr="004D6479" w:rsidRDefault="004D6479" w:rsidP="004D6479">
      <w:pPr>
        <w:pStyle w:val="NormalWeb"/>
        <w:rPr>
          <w:color w:val="000000"/>
        </w:rPr>
      </w:pPr>
      <w:r w:rsidRPr="004D6479">
        <w:rPr>
          <w:color w:val="000000"/>
        </w:rPr>
        <w:t>While positive classroom environment and parent communication showed reasonable strength (both averaging around 3.9/5.0), trauma-informed practices remain an area needing continued attention, as evidenced by principal comments specifically requesting more training in this area.</w:t>
      </w:r>
    </w:p>
    <w:p w14:paraId="70473E02" w14:textId="77777777" w:rsidR="004D6479" w:rsidRPr="004D6479" w:rsidRDefault="004D6479" w:rsidP="004D6479">
      <w:pPr>
        <w:pStyle w:val="NormalWeb"/>
        <w:rPr>
          <w:color w:val="000000"/>
        </w:rPr>
      </w:pPr>
      <w:r w:rsidRPr="004D6479">
        <w:rPr>
          <w:color w:val="000000"/>
        </w:rPr>
        <w:t>The data suggests our previous goals led to improvement in positive classroom environments and parent communication, but trauma-informed practices should remain a priority, which aligns with our decision to include it again in this year's goals.</w:t>
      </w:r>
    </w:p>
    <w:p w14:paraId="3779E479" w14:textId="42A6BBC3" w:rsidR="004D6479" w:rsidRPr="004D6479" w:rsidRDefault="004D6479" w:rsidP="004D6479">
      <w:pPr>
        <w:pStyle w:val="NormalWeb"/>
        <w:rPr>
          <w:color w:val="000000"/>
        </w:rPr>
      </w:pPr>
      <w:r w:rsidRPr="004D6479">
        <w:rPr>
          <w:color w:val="000000"/>
        </w:rPr>
        <w:t xml:space="preserve">As we implement these enhancements, we will continue to monitor their impact through ongoing assessment ensuring Lindenwood University remains at the forefront of teacher preparation excellence. </w:t>
      </w:r>
    </w:p>
    <w:p w14:paraId="55C963AE" w14:textId="77777777" w:rsidR="00222E5C" w:rsidRPr="00EB3A1B" w:rsidRDefault="00222E5C">
      <w:pPr>
        <w:rPr>
          <w:rFonts w:ascii="Times New Roman" w:hAnsi="Times New Roman" w:cs="Times New Roman"/>
        </w:rPr>
      </w:pPr>
    </w:p>
    <w:sectPr w:rsidR="00222E5C" w:rsidRPr="00EB3A1B" w:rsidSect="00EB3A1B">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4AFA" w14:textId="77777777" w:rsidR="005A1A55" w:rsidRDefault="005A1A55" w:rsidP="00D55AF0">
      <w:pPr>
        <w:spacing w:after="0" w:line="240" w:lineRule="auto"/>
      </w:pPr>
      <w:r>
        <w:separator/>
      </w:r>
    </w:p>
  </w:endnote>
  <w:endnote w:type="continuationSeparator" w:id="0">
    <w:p w14:paraId="03AFADA7" w14:textId="77777777" w:rsidR="005A1A55" w:rsidRDefault="005A1A55" w:rsidP="00D5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E3C53" w14:textId="77777777" w:rsidR="005A1A55" w:rsidRDefault="005A1A55" w:rsidP="00D55AF0">
      <w:pPr>
        <w:spacing w:after="0" w:line="240" w:lineRule="auto"/>
      </w:pPr>
      <w:r>
        <w:separator/>
      </w:r>
    </w:p>
  </w:footnote>
  <w:footnote w:type="continuationSeparator" w:id="0">
    <w:p w14:paraId="41C5A20A" w14:textId="77777777" w:rsidR="005A1A55" w:rsidRDefault="005A1A55" w:rsidP="00D55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9B6C" w14:textId="77777777" w:rsidR="00D55AF0" w:rsidRDefault="00D55AF0" w:rsidP="00011BB7">
    <w:pPr>
      <w:jc w:val="center"/>
      <w:rPr>
        <w:rFonts w:ascii="Times New Roman" w:hAnsi="Times New Roman" w:cs="Times New Roman"/>
        <w:b/>
        <w:bCs/>
        <w:sz w:val="32"/>
        <w:szCs w:val="32"/>
      </w:rPr>
    </w:pPr>
    <w:r w:rsidRPr="00C808F2">
      <w:rPr>
        <w:rFonts w:ascii="Times New Roman" w:hAnsi="Times New Roman" w:cs="Times New Roman"/>
        <w:b/>
        <w:bCs/>
        <w:sz w:val="32"/>
        <w:szCs w:val="32"/>
      </w:rPr>
      <w:t>Lindenwood University College of Education and Human Services</w:t>
    </w:r>
  </w:p>
  <w:p w14:paraId="505871DD" w14:textId="77777777" w:rsidR="00613BDF" w:rsidRPr="00D55AF0" w:rsidRDefault="00613BDF" w:rsidP="00011BB7">
    <w:pPr>
      <w:jc w:val="center"/>
      <w:rPr>
        <w:rFonts w:ascii="Times New Roman" w:hAnsi="Times New Roman" w:cs="Times New Roman"/>
        <w:b/>
        <w:bCs/>
        <w:sz w:val="28"/>
        <w:szCs w:val="28"/>
      </w:rPr>
    </w:pPr>
    <w:r w:rsidRPr="00D55AF0">
      <w:rPr>
        <w:rFonts w:ascii="Times New Roman" w:hAnsi="Times New Roman" w:cs="Times New Roman"/>
        <w:b/>
        <w:bCs/>
        <w:sz w:val="28"/>
        <w:szCs w:val="28"/>
      </w:rPr>
      <w:t>Alumni Survey on Teacher effectiveness and Impact on P-12 Student Learning</w:t>
    </w:r>
  </w:p>
  <w:p w14:paraId="0BFB32D6" w14:textId="77777777" w:rsidR="00D55AF0" w:rsidRDefault="00D55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50E6"/>
    <w:multiLevelType w:val="hybridMultilevel"/>
    <w:tmpl w:val="9746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493E"/>
    <w:multiLevelType w:val="hybridMultilevel"/>
    <w:tmpl w:val="4AAA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E0918"/>
    <w:multiLevelType w:val="hybridMultilevel"/>
    <w:tmpl w:val="1D1AC7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837252"/>
    <w:multiLevelType w:val="hybridMultilevel"/>
    <w:tmpl w:val="04325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292F65"/>
    <w:multiLevelType w:val="hybridMultilevel"/>
    <w:tmpl w:val="B0D8D2C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1162410"/>
    <w:multiLevelType w:val="hybridMultilevel"/>
    <w:tmpl w:val="6B10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E2132"/>
    <w:multiLevelType w:val="hybridMultilevel"/>
    <w:tmpl w:val="7DFA7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942113"/>
    <w:multiLevelType w:val="hybridMultilevel"/>
    <w:tmpl w:val="E4BA51B2"/>
    <w:lvl w:ilvl="0" w:tplc="0B200D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7C68D8"/>
    <w:multiLevelType w:val="hybridMultilevel"/>
    <w:tmpl w:val="EEC6D0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5775EB5"/>
    <w:multiLevelType w:val="hybridMultilevel"/>
    <w:tmpl w:val="0B564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545836"/>
    <w:multiLevelType w:val="hybridMultilevel"/>
    <w:tmpl w:val="652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27F9A"/>
    <w:multiLevelType w:val="hybridMultilevel"/>
    <w:tmpl w:val="6D328086"/>
    <w:lvl w:ilvl="0" w:tplc="BB3A54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847057"/>
    <w:multiLevelType w:val="hybridMultilevel"/>
    <w:tmpl w:val="14FA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067515">
    <w:abstractNumId w:val="3"/>
  </w:num>
  <w:num w:numId="2" w16cid:durableId="1590579261">
    <w:abstractNumId w:val="7"/>
  </w:num>
  <w:num w:numId="3" w16cid:durableId="1895461180">
    <w:abstractNumId w:val="4"/>
  </w:num>
  <w:num w:numId="4" w16cid:durableId="231550572">
    <w:abstractNumId w:val="2"/>
  </w:num>
  <w:num w:numId="5" w16cid:durableId="1023288667">
    <w:abstractNumId w:val="11"/>
  </w:num>
  <w:num w:numId="6" w16cid:durableId="1818105519">
    <w:abstractNumId w:val="10"/>
  </w:num>
  <w:num w:numId="7" w16cid:durableId="91360911">
    <w:abstractNumId w:val="6"/>
  </w:num>
  <w:num w:numId="8" w16cid:durableId="697195799">
    <w:abstractNumId w:val="0"/>
  </w:num>
  <w:num w:numId="9" w16cid:durableId="991645146">
    <w:abstractNumId w:val="9"/>
  </w:num>
  <w:num w:numId="10" w16cid:durableId="1840270527">
    <w:abstractNumId w:val="1"/>
  </w:num>
  <w:num w:numId="11" w16cid:durableId="544297815">
    <w:abstractNumId w:val="12"/>
  </w:num>
  <w:num w:numId="12" w16cid:durableId="1476993471">
    <w:abstractNumId w:val="8"/>
  </w:num>
  <w:num w:numId="13" w16cid:durableId="252781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1B"/>
    <w:rsid w:val="00011BB7"/>
    <w:rsid w:val="00021E75"/>
    <w:rsid w:val="000624CF"/>
    <w:rsid w:val="000E3C8F"/>
    <w:rsid w:val="0015641E"/>
    <w:rsid w:val="00170CF0"/>
    <w:rsid w:val="00183B27"/>
    <w:rsid w:val="001A1F15"/>
    <w:rsid w:val="001C32B9"/>
    <w:rsid w:val="00222E5C"/>
    <w:rsid w:val="00253ED2"/>
    <w:rsid w:val="00275F73"/>
    <w:rsid w:val="002844F1"/>
    <w:rsid w:val="002955F2"/>
    <w:rsid w:val="002C028E"/>
    <w:rsid w:val="002E05AE"/>
    <w:rsid w:val="003167E6"/>
    <w:rsid w:val="003524EB"/>
    <w:rsid w:val="00390FB8"/>
    <w:rsid w:val="003C7E61"/>
    <w:rsid w:val="004024A8"/>
    <w:rsid w:val="004C426F"/>
    <w:rsid w:val="004D5670"/>
    <w:rsid w:val="004D6479"/>
    <w:rsid w:val="00514603"/>
    <w:rsid w:val="00562B0C"/>
    <w:rsid w:val="005A1A55"/>
    <w:rsid w:val="005B16A1"/>
    <w:rsid w:val="005C7825"/>
    <w:rsid w:val="00613BDF"/>
    <w:rsid w:val="0067242A"/>
    <w:rsid w:val="006A5775"/>
    <w:rsid w:val="006E7BBB"/>
    <w:rsid w:val="008858A2"/>
    <w:rsid w:val="008A18BC"/>
    <w:rsid w:val="008F3FDE"/>
    <w:rsid w:val="00907C26"/>
    <w:rsid w:val="00920AED"/>
    <w:rsid w:val="00963B90"/>
    <w:rsid w:val="00992344"/>
    <w:rsid w:val="00996FD6"/>
    <w:rsid w:val="00A06A8C"/>
    <w:rsid w:val="00A32BBE"/>
    <w:rsid w:val="00A442BA"/>
    <w:rsid w:val="00A53439"/>
    <w:rsid w:val="00A62D9D"/>
    <w:rsid w:val="00AA67D6"/>
    <w:rsid w:val="00AE1912"/>
    <w:rsid w:val="00AE1EF1"/>
    <w:rsid w:val="00AE46B2"/>
    <w:rsid w:val="00AE5F92"/>
    <w:rsid w:val="00AF5449"/>
    <w:rsid w:val="00B45205"/>
    <w:rsid w:val="00B665A7"/>
    <w:rsid w:val="00B9272B"/>
    <w:rsid w:val="00BC4AD6"/>
    <w:rsid w:val="00C808F2"/>
    <w:rsid w:val="00C92DB4"/>
    <w:rsid w:val="00D27D2B"/>
    <w:rsid w:val="00D35A79"/>
    <w:rsid w:val="00D55AF0"/>
    <w:rsid w:val="00D60F5C"/>
    <w:rsid w:val="00DF54BE"/>
    <w:rsid w:val="00E4107C"/>
    <w:rsid w:val="00E71BEC"/>
    <w:rsid w:val="00EA3855"/>
    <w:rsid w:val="00EB3A1B"/>
    <w:rsid w:val="00F161F8"/>
    <w:rsid w:val="00F2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D721"/>
  <w15:chartTrackingRefBased/>
  <w15:docId w15:val="{09C0130B-88DF-4053-8124-A2A096C4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A1B"/>
    <w:rPr>
      <w:rFonts w:eastAsiaTheme="majorEastAsia" w:cstheme="majorBidi"/>
      <w:color w:val="272727" w:themeColor="text1" w:themeTint="D8"/>
    </w:rPr>
  </w:style>
  <w:style w:type="paragraph" w:styleId="Title">
    <w:name w:val="Title"/>
    <w:basedOn w:val="Normal"/>
    <w:next w:val="Normal"/>
    <w:link w:val="TitleChar"/>
    <w:uiPriority w:val="10"/>
    <w:qFormat/>
    <w:rsid w:val="00EB3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A1B"/>
    <w:pPr>
      <w:spacing w:before="160"/>
      <w:jc w:val="center"/>
    </w:pPr>
    <w:rPr>
      <w:i/>
      <w:iCs/>
      <w:color w:val="404040" w:themeColor="text1" w:themeTint="BF"/>
    </w:rPr>
  </w:style>
  <w:style w:type="character" w:customStyle="1" w:styleId="QuoteChar">
    <w:name w:val="Quote Char"/>
    <w:basedOn w:val="DefaultParagraphFont"/>
    <w:link w:val="Quote"/>
    <w:uiPriority w:val="29"/>
    <w:rsid w:val="00EB3A1B"/>
    <w:rPr>
      <w:i/>
      <w:iCs/>
      <w:color w:val="404040" w:themeColor="text1" w:themeTint="BF"/>
    </w:rPr>
  </w:style>
  <w:style w:type="paragraph" w:styleId="ListParagraph">
    <w:name w:val="List Paragraph"/>
    <w:basedOn w:val="Normal"/>
    <w:uiPriority w:val="34"/>
    <w:qFormat/>
    <w:rsid w:val="00EB3A1B"/>
    <w:pPr>
      <w:ind w:left="720"/>
      <w:contextualSpacing/>
    </w:pPr>
  </w:style>
  <w:style w:type="character" w:styleId="IntenseEmphasis">
    <w:name w:val="Intense Emphasis"/>
    <w:basedOn w:val="DefaultParagraphFont"/>
    <w:uiPriority w:val="21"/>
    <w:qFormat/>
    <w:rsid w:val="00EB3A1B"/>
    <w:rPr>
      <w:i/>
      <w:iCs/>
      <w:color w:val="0F4761" w:themeColor="accent1" w:themeShade="BF"/>
    </w:rPr>
  </w:style>
  <w:style w:type="paragraph" w:styleId="IntenseQuote">
    <w:name w:val="Intense Quote"/>
    <w:basedOn w:val="Normal"/>
    <w:next w:val="Normal"/>
    <w:link w:val="IntenseQuoteChar"/>
    <w:uiPriority w:val="30"/>
    <w:qFormat/>
    <w:rsid w:val="00EB3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A1B"/>
    <w:rPr>
      <w:i/>
      <w:iCs/>
      <w:color w:val="0F4761" w:themeColor="accent1" w:themeShade="BF"/>
    </w:rPr>
  </w:style>
  <w:style w:type="character" w:styleId="IntenseReference">
    <w:name w:val="Intense Reference"/>
    <w:basedOn w:val="DefaultParagraphFont"/>
    <w:uiPriority w:val="32"/>
    <w:qFormat/>
    <w:rsid w:val="00EB3A1B"/>
    <w:rPr>
      <w:b/>
      <w:bCs/>
      <w:smallCaps/>
      <w:color w:val="0F4761" w:themeColor="accent1" w:themeShade="BF"/>
      <w:spacing w:val="5"/>
    </w:rPr>
  </w:style>
  <w:style w:type="paragraph" w:styleId="NormalWeb">
    <w:name w:val="Normal (Web)"/>
    <w:basedOn w:val="Normal"/>
    <w:uiPriority w:val="99"/>
    <w:unhideWhenUsed/>
    <w:rsid w:val="00EB3A1B"/>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25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AF0"/>
  </w:style>
  <w:style w:type="paragraph" w:styleId="Footer">
    <w:name w:val="footer"/>
    <w:basedOn w:val="Normal"/>
    <w:link w:val="FooterChar"/>
    <w:uiPriority w:val="99"/>
    <w:unhideWhenUsed/>
    <w:rsid w:val="00D55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AF0"/>
  </w:style>
  <w:style w:type="table" w:styleId="GridTable1Light">
    <w:name w:val="Grid Table 1 Light"/>
    <w:basedOn w:val="TableNormal"/>
    <w:uiPriority w:val="46"/>
    <w:rsid w:val="003C7E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7E61"/>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C7E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C7E6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7E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70274">
      <w:bodyDiv w:val="1"/>
      <w:marLeft w:val="0"/>
      <w:marRight w:val="0"/>
      <w:marTop w:val="0"/>
      <w:marBottom w:val="0"/>
      <w:divBdr>
        <w:top w:val="none" w:sz="0" w:space="0" w:color="auto"/>
        <w:left w:val="none" w:sz="0" w:space="0" w:color="auto"/>
        <w:bottom w:val="none" w:sz="0" w:space="0" w:color="auto"/>
        <w:right w:val="none" w:sz="0" w:space="0" w:color="auto"/>
      </w:divBdr>
    </w:div>
    <w:div w:id="131559845">
      <w:bodyDiv w:val="1"/>
      <w:marLeft w:val="0"/>
      <w:marRight w:val="0"/>
      <w:marTop w:val="0"/>
      <w:marBottom w:val="0"/>
      <w:divBdr>
        <w:top w:val="none" w:sz="0" w:space="0" w:color="auto"/>
        <w:left w:val="none" w:sz="0" w:space="0" w:color="auto"/>
        <w:bottom w:val="none" w:sz="0" w:space="0" w:color="auto"/>
        <w:right w:val="none" w:sz="0" w:space="0" w:color="auto"/>
      </w:divBdr>
    </w:div>
    <w:div w:id="656497151">
      <w:bodyDiv w:val="1"/>
      <w:marLeft w:val="0"/>
      <w:marRight w:val="0"/>
      <w:marTop w:val="0"/>
      <w:marBottom w:val="0"/>
      <w:divBdr>
        <w:top w:val="none" w:sz="0" w:space="0" w:color="auto"/>
        <w:left w:val="none" w:sz="0" w:space="0" w:color="auto"/>
        <w:bottom w:val="none" w:sz="0" w:space="0" w:color="auto"/>
        <w:right w:val="none" w:sz="0" w:space="0" w:color="auto"/>
      </w:divBdr>
    </w:div>
    <w:div w:id="802310959">
      <w:bodyDiv w:val="1"/>
      <w:marLeft w:val="0"/>
      <w:marRight w:val="0"/>
      <w:marTop w:val="0"/>
      <w:marBottom w:val="0"/>
      <w:divBdr>
        <w:top w:val="none" w:sz="0" w:space="0" w:color="auto"/>
        <w:left w:val="none" w:sz="0" w:space="0" w:color="auto"/>
        <w:bottom w:val="none" w:sz="0" w:space="0" w:color="auto"/>
        <w:right w:val="none" w:sz="0" w:space="0" w:color="auto"/>
      </w:divBdr>
    </w:div>
    <w:div w:id="1712536422">
      <w:bodyDiv w:val="1"/>
      <w:marLeft w:val="0"/>
      <w:marRight w:val="0"/>
      <w:marTop w:val="0"/>
      <w:marBottom w:val="0"/>
      <w:divBdr>
        <w:top w:val="none" w:sz="0" w:space="0" w:color="auto"/>
        <w:left w:val="none" w:sz="0" w:space="0" w:color="auto"/>
        <w:bottom w:val="none" w:sz="0" w:space="0" w:color="auto"/>
        <w:right w:val="none" w:sz="0" w:space="0" w:color="auto"/>
      </w:divBdr>
    </w:div>
    <w:div w:id="1727483004">
      <w:bodyDiv w:val="1"/>
      <w:marLeft w:val="0"/>
      <w:marRight w:val="0"/>
      <w:marTop w:val="0"/>
      <w:marBottom w:val="0"/>
      <w:divBdr>
        <w:top w:val="none" w:sz="0" w:space="0" w:color="auto"/>
        <w:left w:val="none" w:sz="0" w:space="0" w:color="auto"/>
        <w:bottom w:val="none" w:sz="0" w:space="0" w:color="auto"/>
        <w:right w:val="none" w:sz="0" w:space="0" w:color="auto"/>
      </w:divBdr>
    </w:div>
    <w:div w:id="1785418674">
      <w:bodyDiv w:val="1"/>
      <w:marLeft w:val="0"/>
      <w:marRight w:val="0"/>
      <w:marTop w:val="0"/>
      <w:marBottom w:val="0"/>
      <w:divBdr>
        <w:top w:val="none" w:sz="0" w:space="0" w:color="auto"/>
        <w:left w:val="none" w:sz="0" w:space="0" w:color="auto"/>
        <w:bottom w:val="none" w:sz="0" w:space="0" w:color="auto"/>
        <w:right w:val="none" w:sz="0" w:space="0" w:color="auto"/>
      </w:divBdr>
    </w:div>
    <w:div w:id="1869560828">
      <w:bodyDiv w:val="1"/>
      <w:marLeft w:val="0"/>
      <w:marRight w:val="0"/>
      <w:marTop w:val="0"/>
      <w:marBottom w:val="0"/>
      <w:divBdr>
        <w:top w:val="none" w:sz="0" w:space="0" w:color="auto"/>
        <w:left w:val="none" w:sz="0" w:space="0" w:color="auto"/>
        <w:bottom w:val="none" w:sz="0" w:space="0" w:color="auto"/>
        <w:right w:val="none" w:sz="0" w:space="0" w:color="auto"/>
      </w:divBdr>
    </w:div>
    <w:div w:id="19489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d72f08e-540a-4c68-905d-9e69c4d9c61e}" enabled="0" method="" siteId="{3d72f08e-540a-4c68-905d-9e69c4d9c61e}"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Michelle</dc:creator>
  <cp:keywords/>
  <dc:description/>
  <cp:lastModifiedBy>Davis, Michelle</cp:lastModifiedBy>
  <cp:revision>3</cp:revision>
  <dcterms:created xsi:type="dcterms:W3CDTF">2025-04-22T16:58:00Z</dcterms:created>
  <dcterms:modified xsi:type="dcterms:W3CDTF">2025-04-22T17:00:00Z</dcterms:modified>
</cp:coreProperties>
</file>