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689539" w14:textId="77777777" w:rsidR="00AD3074" w:rsidRPr="00392492" w:rsidRDefault="00AD3074" w:rsidP="00AD3074">
      <w:pPr>
        <w:spacing w:line="240" w:lineRule="auto"/>
        <w:contextualSpacing/>
        <w:jc w:val="center"/>
        <w:rPr>
          <w:b/>
          <w:sz w:val="32"/>
          <w:szCs w:val="32"/>
        </w:rPr>
      </w:pPr>
      <w:r w:rsidRPr="00392492">
        <w:rPr>
          <w:b/>
          <w:sz w:val="32"/>
          <w:szCs w:val="32"/>
        </w:rPr>
        <w:t xml:space="preserve">Lindenwood University </w:t>
      </w:r>
    </w:p>
    <w:p w14:paraId="0231ABC3" w14:textId="77777777" w:rsidR="0040188C" w:rsidRPr="00392492" w:rsidRDefault="00527F3F" w:rsidP="00AD3074">
      <w:pPr>
        <w:spacing w:line="240" w:lineRule="auto"/>
        <w:contextualSpacing/>
        <w:jc w:val="center"/>
        <w:rPr>
          <w:b/>
          <w:sz w:val="32"/>
          <w:szCs w:val="32"/>
        </w:rPr>
      </w:pPr>
      <w:r w:rsidRPr="00392492">
        <w:rPr>
          <w:b/>
          <w:sz w:val="32"/>
          <w:szCs w:val="32"/>
        </w:rPr>
        <w:t>Feedback on</w:t>
      </w:r>
      <w:r w:rsidR="0040188C" w:rsidRPr="00392492">
        <w:rPr>
          <w:b/>
          <w:sz w:val="32"/>
          <w:szCs w:val="32"/>
        </w:rPr>
        <w:t xml:space="preserve"> </w:t>
      </w:r>
      <w:r w:rsidR="00D031DE" w:rsidRPr="00392492">
        <w:rPr>
          <w:b/>
          <w:sz w:val="32"/>
          <w:szCs w:val="32"/>
        </w:rPr>
        <w:t>Academic Program</w:t>
      </w:r>
      <w:r w:rsidR="0040188C" w:rsidRPr="00392492">
        <w:rPr>
          <w:b/>
          <w:sz w:val="32"/>
          <w:szCs w:val="32"/>
        </w:rPr>
        <w:t xml:space="preserve"> Assessment Reports</w:t>
      </w:r>
    </w:p>
    <w:p w14:paraId="46971BA6" w14:textId="77777777" w:rsidR="0040188C" w:rsidRPr="00A31F0B" w:rsidRDefault="00C970A9" w:rsidP="00C970A9">
      <w:pPr>
        <w:rPr>
          <w:sz w:val="24"/>
        </w:rPr>
      </w:pPr>
      <w:r w:rsidRPr="00C970A9">
        <w:rPr>
          <w:sz w:val="28"/>
          <w:u w:val="single"/>
        </w:rPr>
        <w:t>Program</w:t>
      </w:r>
      <w:r w:rsidRPr="00C970A9">
        <w:rPr>
          <w:sz w:val="28"/>
        </w:rPr>
        <w:t>:</w:t>
      </w:r>
      <w:r w:rsidR="00A31F0B">
        <w:rPr>
          <w:sz w:val="28"/>
        </w:rPr>
        <w:t xml:space="preserve"> </w:t>
      </w:r>
      <w:r w:rsidRPr="00C970A9">
        <w:rPr>
          <w:sz w:val="28"/>
        </w:rPr>
        <w:tab/>
      </w:r>
      <w:r w:rsidRPr="00C970A9">
        <w:rPr>
          <w:sz w:val="28"/>
        </w:rPr>
        <w:tab/>
      </w:r>
      <w:r w:rsidRPr="00C970A9">
        <w:rPr>
          <w:sz w:val="28"/>
        </w:rPr>
        <w:tab/>
      </w:r>
      <w:r w:rsidRPr="00C970A9">
        <w:rPr>
          <w:sz w:val="28"/>
        </w:rPr>
        <w:tab/>
      </w:r>
      <w:r w:rsidRPr="00C970A9">
        <w:rPr>
          <w:sz w:val="28"/>
        </w:rPr>
        <w:tab/>
      </w:r>
      <w:r w:rsidRPr="00C970A9">
        <w:rPr>
          <w:sz w:val="28"/>
        </w:rPr>
        <w:tab/>
      </w:r>
      <w:r>
        <w:rPr>
          <w:sz w:val="28"/>
        </w:rPr>
        <w:t xml:space="preserve">   </w:t>
      </w:r>
      <w:r w:rsidRPr="00C970A9">
        <w:rPr>
          <w:sz w:val="28"/>
          <w:u w:val="single"/>
        </w:rPr>
        <w:t>Year</w:t>
      </w:r>
      <w:r w:rsidRPr="00C970A9">
        <w:rPr>
          <w:sz w:val="28"/>
        </w:rPr>
        <w:t>:</w:t>
      </w:r>
      <w:r w:rsidR="00A31F0B">
        <w:rPr>
          <w:sz w:val="28"/>
        </w:rPr>
        <w:t xml:space="preserve"> </w:t>
      </w:r>
      <w:r w:rsidRPr="00C970A9">
        <w:rPr>
          <w:sz w:val="28"/>
        </w:rPr>
        <w:tab/>
      </w:r>
      <w:r w:rsidRPr="00C970A9">
        <w:rPr>
          <w:sz w:val="28"/>
        </w:rPr>
        <w:tab/>
      </w:r>
      <w:r w:rsidRPr="00C970A9">
        <w:rPr>
          <w:sz w:val="28"/>
        </w:rPr>
        <w:tab/>
      </w:r>
      <w:r w:rsidRPr="00C970A9">
        <w:rPr>
          <w:sz w:val="28"/>
        </w:rPr>
        <w:tab/>
      </w:r>
      <w:r w:rsidRPr="00C970A9">
        <w:rPr>
          <w:sz w:val="28"/>
        </w:rPr>
        <w:tab/>
      </w:r>
      <w:r>
        <w:rPr>
          <w:sz w:val="28"/>
        </w:rPr>
        <w:t xml:space="preserve">         </w:t>
      </w:r>
      <w:r w:rsidRPr="00C970A9">
        <w:rPr>
          <w:sz w:val="28"/>
          <w:u w:val="single"/>
        </w:rPr>
        <w:t>Submitted by</w:t>
      </w:r>
      <w:r w:rsidRPr="00C970A9">
        <w:rPr>
          <w:sz w:val="28"/>
        </w:rPr>
        <w:t>:</w:t>
      </w:r>
      <w:r w:rsidR="00A31F0B">
        <w:rPr>
          <w:sz w:val="28"/>
        </w:rPr>
        <w:t xml:space="preserve"> </w:t>
      </w:r>
    </w:p>
    <w:tbl>
      <w:tblPr>
        <w:tblStyle w:val="GridTable5Dark-Accent1"/>
        <w:tblW w:w="14665" w:type="dxa"/>
        <w:jc w:val="center"/>
        <w:tblLayout w:type="fixed"/>
        <w:tblLook w:val="04A0" w:firstRow="1" w:lastRow="0" w:firstColumn="1" w:lastColumn="0" w:noHBand="0" w:noVBand="1"/>
      </w:tblPr>
      <w:tblGrid>
        <w:gridCol w:w="1975"/>
        <w:gridCol w:w="4320"/>
        <w:gridCol w:w="4320"/>
        <w:gridCol w:w="4050"/>
      </w:tblGrid>
      <w:tr w:rsidR="0057122E" w14:paraId="012812DA" w14:textId="77777777" w:rsidTr="003924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  <w:vAlign w:val="center"/>
          </w:tcPr>
          <w:p w14:paraId="2E0C97E9" w14:textId="77777777" w:rsidR="0057122E" w:rsidRPr="00C970A9" w:rsidRDefault="00FC7A41" w:rsidP="00FC7A41">
            <w:pPr>
              <w:jc w:val="center"/>
              <w:rPr>
                <w:color w:val="auto"/>
                <w:sz w:val="32"/>
              </w:rPr>
            </w:pPr>
            <w:r>
              <w:rPr>
                <w:color w:val="auto"/>
                <w:sz w:val="32"/>
              </w:rPr>
              <w:t>Column</w:t>
            </w:r>
          </w:p>
        </w:tc>
        <w:tc>
          <w:tcPr>
            <w:tcW w:w="4320" w:type="dxa"/>
            <w:vAlign w:val="center"/>
          </w:tcPr>
          <w:p w14:paraId="342C7FA4" w14:textId="77777777" w:rsidR="0057122E" w:rsidRPr="0080614C" w:rsidRDefault="006D5FD0" w:rsidP="0080614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2"/>
              </w:rPr>
            </w:pPr>
            <w:r>
              <w:rPr>
                <w:color w:val="auto"/>
                <w:sz w:val="32"/>
              </w:rPr>
              <w:t>Developing</w:t>
            </w:r>
            <w:r w:rsidR="0057122E" w:rsidRPr="0080614C">
              <w:rPr>
                <w:color w:val="auto"/>
                <w:sz w:val="32"/>
              </w:rPr>
              <w:t xml:space="preserve"> </w:t>
            </w:r>
          </w:p>
        </w:tc>
        <w:tc>
          <w:tcPr>
            <w:tcW w:w="4320" w:type="dxa"/>
            <w:vAlign w:val="center"/>
          </w:tcPr>
          <w:p w14:paraId="2A2980AF" w14:textId="77777777" w:rsidR="0057122E" w:rsidRPr="0080614C" w:rsidRDefault="0057122E" w:rsidP="006D5FD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2"/>
              </w:rPr>
            </w:pPr>
            <w:r w:rsidRPr="0080614C">
              <w:rPr>
                <w:color w:val="auto"/>
                <w:sz w:val="32"/>
              </w:rPr>
              <w:t>Develop</w:t>
            </w:r>
            <w:r w:rsidR="006D5FD0">
              <w:rPr>
                <w:color w:val="auto"/>
                <w:sz w:val="32"/>
              </w:rPr>
              <w:t>ed</w:t>
            </w:r>
          </w:p>
        </w:tc>
        <w:tc>
          <w:tcPr>
            <w:tcW w:w="4050" w:type="dxa"/>
            <w:vAlign w:val="center"/>
          </w:tcPr>
          <w:p w14:paraId="153A85B4" w14:textId="77777777" w:rsidR="0057122E" w:rsidRPr="0080614C" w:rsidRDefault="006D5FD0" w:rsidP="0080614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2"/>
              </w:rPr>
            </w:pPr>
            <w:r>
              <w:rPr>
                <w:color w:val="auto"/>
                <w:sz w:val="32"/>
              </w:rPr>
              <w:t>Best Practices</w:t>
            </w:r>
          </w:p>
        </w:tc>
      </w:tr>
      <w:tr w:rsidR="00030AF6" w:rsidRPr="0037160F" w14:paraId="78631720" w14:textId="77777777" w:rsidTr="00030A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  <w:vAlign w:val="center"/>
          </w:tcPr>
          <w:p w14:paraId="7967DB1B" w14:textId="77777777" w:rsidR="00030AF6" w:rsidRDefault="00030AF6" w:rsidP="00D72994">
            <w:pPr>
              <w:jc w:val="center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Column 1:</w:t>
            </w:r>
          </w:p>
          <w:p w14:paraId="204D9791" w14:textId="77777777" w:rsidR="00030AF6" w:rsidRPr="0037160F" w:rsidRDefault="00030AF6" w:rsidP="00C141B9">
            <w:pPr>
              <w:jc w:val="center"/>
              <w:rPr>
                <w:color w:val="auto"/>
                <w:sz w:val="32"/>
              </w:rPr>
            </w:pPr>
            <w:r>
              <w:rPr>
                <w:color w:val="auto"/>
                <w:sz w:val="28"/>
              </w:rPr>
              <w:t xml:space="preserve">Mission, LGAs </w:t>
            </w:r>
          </w:p>
        </w:tc>
        <w:tc>
          <w:tcPr>
            <w:tcW w:w="4320" w:type="dxa"/>
          </w:tcPr>
          <w:p w14:paraId="5BBC6553" w14:textId="77777777" w:rsidR="00030AF6" w:rsidRPr="00076FFE" w:rsidRDefault="00030AF6" w:rsidP="003F4FFD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Lindenwood mission, program mission, or current LGAs do not appear.</w:t>
            </w:r>
          </w:p>
          <w:p w14:paraId="6587FE36" w14:textId="77777777" w:rsidR="00030AF6" w:rsidRPr="0037160F" w:rsidRDefault="00030AF6" w:rsidP="00076FFE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6"/>
              </w:rPr>
            </w:pPr>
          </w:p>
        </w:tc>
        <w:tc>
          <w:tcPr>
            <w:tcW w:w="4320" w:type="dxa"/>
          </w:tcPr>
          <w:p w14:paraId="313BED9A" w14:textId="77777777" w:rsidR="00030AF6" w:rsidRPr="0037160F" w:rsidRDefault="00030AF6" w:rsidP="00CB4BD6">
            <w:pPr>
              <w:pStyle w:val="List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6"/>
              </w:rPr>
            </w:pPr>
          </w:p>
        </w:tc>
        <w:tc>
          <w:tcPr>
            <w:tcW w:w="4050" w:type="dxa"/>
          </w:tcPr>
          <w:p w14:paraId="6E771CE6" w14:textId="77777777" w:rsidR="00CB4BD6" w:rsidRPr="0037160F" w:rsidRDefault="00CB4BD6" w:rsidP="00CB4BD6">
            <w:pPr>
              <w:pStyle w:val="ListParagraph"/>
              <w:numPr>
                <w:ilvl w:val="0"/>
                <w:numId w:val="3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6"/>
              </w:rPr>
            </w:pPr>
            <w:r w:rsidRPr="00D031DE">
              <w:rPr>
                <w:sz w:val="18"/>
                <w:szCs w:val="16"/>
              </w:rPr>
              <w:t>Lindenwood mission</w:t>
            </w:r>
            <w:r>
              <w:rPr>
                <w:sz w:val="18"/>
                <w:szCs w:val="16"/>
              </w:rPr>
              <w:t>, program mission, and LGAs all appear.</w:t>
            </w:r>
            <w:r w:rsidRPr="0037160F">
              <w:rPr>
                <w:sz w:val="18"/>
                <w:szCs w:val="16"/>
              </w:rPr>
              <w:t xml:space="preserve"> </w:t>
            </w:r>
          </w:p>
          <w:p w14:paraId="061896F0" w14:textId="77777777" w:rsidR="00030AF6" w:rsidRPr="0037160F" w:rsidRDefault="00030AF6" w:rsidP="003A72B4">
            <w:pPr>
              <w:pStyle w:val="List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6"/>
              </w:rPr>
            </w:pPr>
          </w:p>
        </w:tc>
      </w:tr>
      <w:tr w:rsidR="00030AF6" w:rsidRPr="0037160F" w14:paraId="45163787" w14:textId="77777777" w:rsidTr="00995402">
        <w:trPr>
          <w:trHeight w:val="54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  <w:vAlign w:val="center"/>
          </w:tcPr>
          <w:p w14:paraId="0C7B31B2" w14:textId="77777777" w:rsidR="00995402" w:rsidRDefault="00030AF6" w:rsidP="00995402"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Column 2:</w:t>
            </w:r>
          </w:p>
          <w:p w14:paraId="6D2E31EF" w14:textId="77777777" w:rsidR="00030AF6" w:rsidRPr="0019663D" w:rsidRDefault="00030AF6" w:rsidP="00995402"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PLOs</w:t>
            </w:r>
          </w:p>
        </w:tc>
        <w:tc>
          <w:tcPr>
            <w:tcW w:w="4320" w:type="dxa"/>
          </w:tcPr>
          <w:p w14:paraId="203E877A" w14:textId="77777777" w:rsidR="00030AF6" w:rsidRPr="0037160F" w:rsidRDefault="00030AF6" w:rsidP="003F4FFD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Some</w:t>
            </w:r>
            <w:r w:rsidRPr="0037160F">
              <w:rPr>
                <w:sz w:val="18"/>
                <w:szCs w:val="16"/>
              </w:rPr>
              <w:t xml:space="preserve"> </w:t>
            </w:r>
            <w:r>
              <w:rPr>
                <w:sz w:val="18"/>
                <w:szCs w:val="16"/>
              </w:rPr>
              <w:t>PLOs</w:t>
            </w:r>
            <w:r w:rsidRPr="0037160F">
              <w:rPr>
                <w:sz w:val="18"/>
                <w:szCs w:val="16"/>
              </w:rPr>
              <w:t xml:space="preserve"> are not clearly articulated</w:t>
            </w:r>
            <w:r>
              <w:rPr>
                <w:sz w:val="18"/>
                <w:szCs w:val="16"/>
              </w:rPr>
              <w:t>.</w:t>
            </w:r>
            <w:r w:rsidRPr="0037160F">
              <w:rPr>
                <w:sz w:val="18"/>
                <w:szCs w:val="16"/>
              </w:rPr>
              <w:t xml:space="preserve"> </w:t>
            </w:r>
          </w:p>
          <w:p w14:paraId="19E00B4B" w14:textId="77777777" w:rsidR="00030AF6" w:rsidRPr="0037160F" w:rsidRDefault="00030AF6" w:rsidP="003F4FFD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Some PLOs are not aligned </w:t>
            </w:r>
            <w:r w:rsidRPr="0037160F">
              <w:rPr>
                <w:sz w:val="18"/>
                <w:szCs w:val="16"/>
              </w:rPr>
              <w:t xml:space="preserve">with </w:t>
            </w:r>
            <w:r>
              <w:rPr>
                <w:sz w:val="18"/>
                <w:szCs w:val="16"/>
              </w:rPr>
              <w:t>the LGAs.</w:t>
            </w:r>
          </w:p>
          <w:p w14:paraId="431E0A06" w14:textId="77777777" w:rsidR="00030AF6" w:rsidRPr="0037160F" w:rsidRDefault="00030AF6" w:rsidP="003F4FFD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6"/>
              </w:rPr>
            </w:pPr>
          </w:p>
          <w:p w14:paraId="7273507C" w14:textId="77777777" w:rsidR="00030AF6" w:rsidRPr="0037160F" w:rsidRDefault="00030AF6" w:rsidP="003F4F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6"/>
              </w:rPr>
            </w:pPr>
          </w:p>
        </w:tc>
        <w:tc>
          <w:tcPr>
            <w:tcW w:w="4320" w:type="dxa"/>
          </w:tcPr>
          <w:p w14:paraId="395FBE40" w14:textId="77777777" w:rsidR="00030AF6" w:rsidRPr="0037160F" w:rsidRDefault="00030AF6" w:rsidP="00AE5421">
            <w:pPr>
              <w:tabs>
                <w:tab w:val="left" w:pos="104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ab/>
            </w:r>
          </w:p>
        </w:tc>
        <w:tc>
          <w:tcPr>
            <w:tcW w:w="4050" w:type="dxa"/>
            <w:shd w:val="clear" w:color="auto" w:fill="BDD6EE" w:themeFill="accent1" w:themeFillTint="66"/>
          </w:tcPr>
          <w:p w14:paraId="52F29DDD" w14:textId="77777777" w:rsidR="00CB4BD6" w:rsidRPr="0037160F" w:rsidRDefault="00CB4BD6" w:rsidP="00CB4BD6">
            <w:pPr>
              <w:pStyle w:val="ListParagraph"/>
              <w:numPr>
                <w:ilvl w:val="0"/>
                <w:numId w:val="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All PLOs</w:t>
            </w:r>
            <w:r w:rsidRPr="0037160F">
              <w:rPr>
                <w:sz w:val="18"/>
                <w:szCs w:val="16"/>
              </w:rPr>
              <w:t xml:space="preserve"> are clearly articulated</w:t>
            </w:r>
            <w:r>
              <w:rPr>
                <w:sz w:val="18"/>
                <w:szCs w:val="16"/>
              </w:rPr>
              <w:t>.</w:t>
            </w:r>
            <w:r w:rsidRPr="0037160F">
              <w:rPr>
                <w:sz w:val="18"/>
                <w:szCs w:val="16"/>
              </w:rPr>
              <w:t xml:space="preserve"> </w:t>
            </w:r>
          </w:p>
          <w:p w14:paraId="409F0DCA" w14:textId="77777777" w:rsidR="00CB4BD6" w:rsidRPr="0037160F" w:rsidRDefault="00CB4BD6" w:rsidP="00CB4BD6">
            <w:pPr>
              <w:pStyle w:val="ListParagraph"/>
              <w:numPr>
                <w:ilvl w:val="0"/>
                <w:numId w:val="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All PLOs are aligned with the LGAs.</w:t>
            </w:r>
          </w:p>
          <w:p w14:paraId="29127B70" w14:textId="77777777" w:rsidR="00030AF6" w:rsidRPr="0037160F" w:rsidRDefault="00030AF6" w:rsidP="003F4F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6"/>
              </w:rPr>
            </w:pPr>
          </w:p>
        </w:tc>
      </w:tr>
      <w:tr w:rsidR="00030AF6" w:rsidRPr="0037160F" w14:paraId="149B6178" w14:textId="77777777" w:rsidTr="009954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5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  <w:vAlign w:val="center"/>
          </w:tcPr>
          <w:p w14:paraId="005D0698" w14:textId="77777777" w:rsidR="00030AF6" w:rsidRDefault="00030AF6" w:rsidP="00C141B9">
            <w:pPr>
              <w:jc w:val="center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Column 3:</w:t>
            </w:r>
          </w:p>
          <w:p w14:paraId="0BD2B2D0" w14:textId="77777777" w:rsidR="00030AF6" w:rsidRPr="00C141B9" w:rsidRDefault="00030AF6" w:rsidP="00C141B9">
            <w:pPr>
              <w:jc w:val="center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 xml:space="preserve">Means of </w:t>
            </w:r>
            <w:r w:rsidRPr="0037160F">
              <w:rPr>
                <w:color w:val="auto"/>
                <w:sz w:val="28"/>
              </w:rPr>
              <w:t xml:space="preserve">Assessment </w:t>
            </w:r>
            <w:r>
              <w:rPr>
                <w:color w:val="auto"/>
                <w:sz w:val="28"/>
              </w:rPr>
              <w:t>and Criteria for Success</w:t>
            </w:r>
          </w:p>
        </w:tc>
        <w:tc>
          <w:tcPr>
            <w:tcW w:w="4320" w:type="dxa"/>
          </w:tcPr>
          <w:p w14:paraId="2D2294E1" w14:textId="77777777" w:rsidR="00030AF6" w:rsidRPr="0037160F" w:rsidRDefault="00030AF6" w:rsidP="003F4FFD">
            <w:pPr>
              <w:pStyle w:val="ListParagraph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Some PLOs only have a single means of assessment.</w:t>
            </w:r>
          </w:p>
          <w:p w14:paraId="22B65040" w14:textId="77777777" w:rsidR="00995402" w:rsidRDefault="00995402" w:rsidP="00995402">
            <w:pPr>
              <w:pStyle w:val="ListParagraph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Some means of assessment are not useful measures of PLO attainment.</w:t>
            </w:r>
          </w:p>
          <w:p w14:paraId="47316DA5" w14:textId="77777777" w:rsidR="00030AF6" w:rsidRPr="0037160F" w:rsidRDefault="00030AF6" w:rsidP="003F4FFD">
            <w:pPr>
              <w:pStyle w:val="ListParagraph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Some means of</w:t>
            </w:r>
            <w:r w:rsidRPr="0037160F">
              <w:rPr>
                <w:sz w:val="18"/>
                <w:szCs w:val="16"/>
              </w:rPr>
              <w:t xml:space="preserve"> assessment are </w:t>
            </w:r>
            <w:r>
              <w:rPr>
                <w:sz w:val="18"/>
                <w:szCs w:val="16"/>
              </w:rPr>
              <w:t>not described in</w:t>
            </w:r>
            <w:r w:rsidRPr="0037160F">
              <w:rPr>
                <w:sz w:val="18"/>
                <w:szCs w:val="16"/>
              </w:rPr>
              <w:t xml:space="preserve"> sufficient detail to know what is being assessed</w:t>
            </w:r>
            <w:r>
              <w:rPr>
                <w:sz w:val="18"/>
                <w:szCs w:val="16"/>
              </w:rPr>
              <w:t>,</w:t>
            </w:r>
            <w:r w:rsidRPr="0037160F">
              <w:rPr>
                <w:sz w:val="18"/>
                <w:szCs w:val="16"/>
              </w:rPr>
              <w:t xml:space="preserve"> how, by whom, and when</w:t>
            </w:r>
            <w:r>
              <w:rPr>
                <w:sz w:val="18"/>
                <w:szCs w:val="16"/>
              </w:rPr>
              <w:t>.</w:t>
            </w:r>
            <w:r w:rsidRPr="0037160F">
              <w:rPr>
                <w:sz w:val="18"/>
                <w:szCs w:val="16"/>
              </w:rPr>
              <w:t xml:space="preserve"> </w:t>
            </w:r>
          </w:p>
          <w:p w14:paraId="4E483296" w14:textId="77777777" w:rsidR="00030AF6" w:rsidRPr="0037160F" w:rsidRDefault="00030AF6" w:rsidP="003F4FFD">
            <w:pPr>
              <w:pStyle w:val="ListParagraph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Several PLOs only have indirect means of assessment.</w:t>
            </w:r>
          </w:p>
          <w:p w14:paraId="42C98C58" w14:textId="77777777" w:rsidR="00030AF6" w:rsidRPr="0037160F" w:rsidRDefault="00030AF6" w:rsidP="003F4FFD">
            <w:pPr>
              <w:pStyle w:val="ListParagraph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Most statistical means of assessment lack</w:t>
            </w:r>
            <w:r w:rsidRPr="0037160F">
              <w:rPr>
                <w:sz w:val="18"/>
                <w:szCs w:val="16"/>
              </w:rPr>
              <w:t xml:space="preserve"> benchmarks</w:t>
            </w:r>
            <w:r>
              <w:rPr>
                <w:sz w:val="18"/>
                <w:szCs w:val="16"/>
              </w:rPr>
              <w:t>.</w:t>
            </w:r>
          </w:p>
          <w:p w14:paraId="4919DC5E" w14:textId="77777777" w:rsidR="00030AF6" w:rsidRPr="0037160F" w:rsidRDefault="00030AF6" w:rsidP="003F4FFD">
            <w:pPr>
              <w:pStyle w:val="ListParagraph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No means of assessment involve formative assessment.</w:t>
            </w:r>
          </w:p>
          <w:p w14:paraId="0027D82C" w14:textId="77777777" w:rsidR="00030AF6" w:rsidRPr="0037160F" w:rsidRDefault="00030AF6" w:rsidP="003F4FFD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6"/>
              </w:rPr>
            </w:pPr>
          </w:p>
          <w:p w14:paraId="139CB12E" w14:textId="77777777" w:rsidR="00030AF6" w:rsidRPr="0037160F" w:rsidRDefault="00030AF6" w:rsidP="003F4F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6"/>
              </w:rPr>
            </w:pPr>
          </w:p>
        </w:tc>
        <w:tc>
          <w:tcPr>
            <w:tcW w:w="4320" w:type="dxa"/>
          </w:tcPr>
          <w:p w14:paraId="1209F97F" w14:textId="23B53CC1" w:rsidR="00617F5E" w:rsidRDefault="00617F5E" w:rsidP="00617F5E">
            <w:pPr>
              <w:pStyle w:val="List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6"/>
              </w:rPr>
            </w:pPr>
          </w:p>
          <w:p w14:paraId="7AE873C1" w14:textId="42ADA36E" w:rsidR="00617F5E" w:rsidRDefault="00617F5E" w:rsidP="00617F5E">
            <w:pPr>
              <w:pStyle w:val="List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6"/>
              </w:rPr>
            </w:pPr>
          </w:p>
          <w:p w14:paraId="1A639798" w14:textId="79BB5385" w:rsidR="00617F5E" w:rsidRDefault="00617F5E" w:rsidP="00617F5E">
            <w:pPr>
              <w:pStyle w:val="List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6"/>
              </w:rPr>
            </w:pPr>
          </w:p>
          <w:p w14:paraId="22800317" w14:textId="240340E1" w:rsidR="00617F5E" w:rsidRDefault="00617F5E" w:rsidP="00617F5E">
            <w:pPr>
              <w:pStyle w:val="List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6"/>
              </w:rPr>
            </w:pPr>
          </w:p>
          <w:p w14:paraId="2BDCC212" w14:textId="4F0DE735" w:rsidR="00617F5E" w:rsidRDefault="00617F5E" w:rsidP="00617F5E">
            <w:pPr>
              <w:pStyle w:val="List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6"/>
              </w:rPr>
            </w:pPr>
          </w:p>
          <w:p w14:paraId="636BBEB5" w14:textId="37801985" w:rsidR="00617F5E" w:rsidRDefault="00617F5E" w:rsidP="00617F5E">
            <w:pPr>
              <w:pStyle w:val="List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6"/>
              </w:rPr>
            </w:pPr>
          </w:p>
          <w:p w14:paraId="485FCF25" w14:textId="77777777" w:rsidR="00617F5E" w:rsidRDefault="00617F5E" w:rsidP="00617F5E">
            <w:pPr>
              <w:pStyle w:val="List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6"/>
              </w:rPr>
            </w:pPr>
          </w:p>
          <w:p w14:paraId="37A59E81" w14:textId="719591DF" w:rsidR="00030AF6" w:rsidRPr="0037160F" w:rsidRDefault="00030AF6" w:rsidP="00617F5E">
            <w:pPr>
              <w:pStyle w:val="ListParagraph"/>
              <w:numPr>
                <w:ilvl w:val="0"/>
                <w:numId w:val="3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Most PLOs have at least one direct means of assessment.</w:t>
            </w:r>
          </w:p>
          <w:p w14:paraId="67BE87D0" w14:textId="77777777" w:rsidR="00030AF6" w:rsidRPr="0037160F" w:rsidRDefault="00030AF6" w:rsidP="00617F5E">
            <w:pPr>
              <w:pStyle w:val="ListParagraph"/>
              <w:numPr>
                <w:ilvl w:val="0"/>
                <w:numId w:val="3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Most statistical means of assessment have </w:t>
            </w:r>
            <w:r w:rsidRPr="0037160F">
              <w:rPr>
                <w:sz w:val="18"/>
                <w:szCs w:val="16"/>
              </w:rPr>
              <w:t>benchmarks</w:t>
            </w:r>
            <w:r>
              <w:rPr>
                <w:sz w:val="18"/>
                <w:szCs w:val="16"/>
              </w:rPr>
              <w:t>.</w:t>
            </w:r>
          </w:p>
          <w:p w14:paraId="136D254F" w14:textId="77777777" w:rsidR="00030AF6" w:rsidRPr="0037160F" w:rsidRDefault="00030AF6" w:rsidP="00617F5E">
            <w:pPr>
              <w:pStyle w:val="ListParagraph"/>
              <w:numPr>
                <w:ilvl w:val="0"/>
                <w:numId w:val="3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No means of assessment involve formative assessment, or, if formative assessment takes place, there is no indication in column 5 of how the results of formative assessment </w:t>
            </w:r>
            <w:r w:rsidR="00FC7A41">
              <w:rPr>
                <w:sz w:val="18"/>
                <w:szCs w:val="16"/>
              </w:rPr>
              <w:t>a</w:t>
            </w:r>
            <w:r>
              <w:rPr>
                <w:sz w:val="18"/>
                <w:szCs w:val="16"/>
              </w:rPr>
              <w:t xml:space="preserve">re used to improve student learning while students </w:t>
            </w:r>
            <w:r w:rsidR="00FC7A41">
              <w:rPr>
                <w:sz w:val="18"/>
                <w:szCs w:val="16"/>
              </w:rPr>
              <w:t>a</w:t>
            </w:r>
            <w:r>
              <w:rPr>
                <w:sz w:val="18"/>
                <w:szCs w:val="16"/>
              </w:rPr>
              <w:t>re still in the program.</w:t>
            </w:r>
          </w:p>
          <w:p w14:paraId="5D3D0D02" w14:textId="77777777" w:rsidR="00030AF6" w:rsidRPr="0037160F" w:rsidRDefault="00030AF6" w:rsidP="003F4FFD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6"/>
              </w:rPr>
            </w:pPr>
          </w:p>
        </w:tc>
        <w:tc>
          <w:tcPr>
            <w:tcW w:w="4050" w:type="dxa"/>
          </w:tcPr>
          <w:p w14:paraId="1963E5B8" w14:textId="77777777" w:rsidR="00617F5E" w:rsidRPr="0037160F" w:rsidRDefault="00617F5E" w:rsidP="00617F5E">
            <w:pPr>
              <w:pStyle w:val="ListParagraph"/>
              <w:numPr>
                <w:ilvl w:val="0"/>
                <w:numId w:val="3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All PLOs have at least two means of assessment.</w:t>
            </w:r>
          </w:p>
          <w:p w14:paraId="287073F3" w14:textId="77777777" w:rsidR="00617F5E" w:rsidRDefault="00617F5E" w:rsidP="00617F5E">
            <w:pPr>
              <w:pStyle w:val="ListParagraph"/>
              <w:numPr>
                <w:ilvl w:val="0"/>
                <w:numId w:val="3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All means of assessment are useful measures of PLO attainment.</w:t>
            </w:r>
          </w:p>
          <w:p w14:paraId="7D1CFC47" w14:textId="77777777" w:rsidR="00617F5E" w:rsidRPr="0037160F" w:rsidRDefault="00617F5E" w:rsidP="00617F5E">
            <w:pPr>
              <w:pStyle w:val="ListParagraph"/>
              <w:numPr>
                <w:ilvl w:val="0"/>
                <w:numId w:val="3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All means of</w:t>
            </w:r>
            <w:r w:rsidRPr="0037160F">
              <w:rPr>
                <w:sz w:val="18"/>
                <w:szCs w:val="16"/>
              </w:rPr>
              <w:t xml:space="preserve"> assessment are </w:t>
            </w:r>
            <w:r>
              <w:rPr>
                <w:sz w:val="18"/>
                <w:szCs w:val="16"/>
              </w:rPr>
              <w:t>described in</w:t>
            </w:r>
            <w:r w:rsidRPr="0037160F">
              <w:rPr>
                <w:sz w:val="18"/>
                <w:szCs w:val="16"/>
              </w:rPr>
              <w:t xml:space="preserve"> sufficient detail to know what is being assessed</w:t>
            </w:r>
            <w:r>
              <w:rPr>
                <w:sz w:val="18"/>
                <w:szCs w:val="16"/>
              </w:rPr>
              <w:t>,</w:t>
            </w:r>
            <w:r w:rsidRPr="0037160F">
              <w:rPr>
                <w:sz w:val="18"/>
                <w:szCs w:val="16"/>
              </w:rPr>
              <w:t xml:space="preserve"> how, by whom, and when</w:t>
            </w:r>
            <w:r>
              <w:rPr>
                <w:sz w:val="18"/>
                <w:szCs w:val="16"/>
              </w:rPr>
              <w:t>.</w:t>
            </w:r>
          </w:p>
          <w:p w14:paraId="74A1A7CF" w14:textId="77777777" w:rsidR="00995402" w:rsidRDefault="003A72B4" w:rsidP="00617F5E">
            <w:pPr>
              <w:pStyle w:val="ListParagraph"/>
              <w:numPr>
                <w:ilvl w:val="0"/>
                <w:numId w:val="3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All</w:t>
            </w:r>
            <w:r w:rsidRPr="00030AF6">
              <w:rPr>
                <w:sz w:val="18"/>
                <w:szCs w:val="16"/>
              </w:rPr>
              <w:t xml:space="preserve"> PLOs have at least one</w:t>
            </w:r>
            <w:r w:rsidR="00995402">
              <w:rPr>
                <w:sz w:val="18"/>
                <w:szCs w:val="16"/>
              </w:rPr>
              <w:t xml:space="preserve"> direct means of assessment</w:t>
            </w:r>
          </w:p>
          <w:p w14:paraId="78AFA229" w14:textId="77777777" w:rsidR="00995402" w:rsidRDefault="00995402" w:rsidP="00617F5E">
            <w:pPr>
              <w:pStyle w:val="ListParagraph"/>
              <w:numPr>
                <w:ilvl w:val="0"/>
                <w:numId w:val="3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A</w:t>
            </w:r>
            <w:r w:rsidR="003A72B4" w:rsidRPr="00030AF6">
              <w:rPr>
                <w:sz w:val="18"/>
                <w:szCs w:val="16"/>
              </w:rPr>
              <w:t>ll statistical means of assessment have benchmarks.</w:t>
            </w:r>
          </w:p>
          <w:p w14:paraId="04ED09BE" w14:textId="77777777" w:rsidR="003A72B4" w:rsidRPr="0037160F" w:rsidRDefault="003A72B4" w:rsidP="00617F5E">
            <w:pPr>
              <w:pStyle w:val="ListParagraph"/>
              <w:numPr>
                <w:ilvl w:val="0"/>
                <w:numId w:val="3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Formative assessment is performed for at least on PLO, and </w:t>
            </w:r>
            <w:r w:rsidR="005722B6">
              <w:rPr>
                <w:sz w:val="18"/>
                <w:szCs w:val="16"/>
              </w:rPr>
              <w:t xml:space="preserve">column 5 explicitly shows how </w:t>
            </w:r>
            <w:r>
              <w:rPr>
                <w:sz w:val="18"/>
                <w:szCs w:val="16"/>
              </w:rPr>
              <w:t>the results of formative assessment are used to improve student learning while students are still in the program.</w:t>
            </w:r>
          </w:p>
        </w:tc>
      </w:tr>
      <w:tr w:rsidR="00030AF6" w:rsidRPr="0037160F" w14:paraId="4EC5B2F0" w14:textId="77777777" w:rsidTr="00995402">
        <w:trPr>
          <w:trHeight w:val="126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  <w:vAlign w:val="center"/>
          </w:tcPr>
          <w:p w14:paraId="27F6E8D9" w14:textId="77777777" w:rsidR="00030AF6" w:rsidRDefault="00030AF6" w:rsidP="00A928CD">
            <w:pPr>
              <w:jc w:val="center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Column 4:</w:t>
            </w:r>
          </w:p>
          <w:p w14:paraId="464FA5C6" w14:textId="77777777" w:rsidR="00030AF6" w:rsidRPr="0037160F" w:rsidRDefault="00030AF6" w:rsidP="00A928CD">
            <w:pPr>
              <w:jc w:val="center"/>
              <w:rPr>
                <w:color w:val="auto"/>
                <w:sz w:val="32"/>
              </w:rPr>
            </w:pPr>
            <w:r>
              <w:rPr>
                <w:color w:val="auto"/>
                <w:sz w:val="28"/>
              </w:rPr>
              <w:t xml:space="preserve">Summary of </w:t>
            </w:r>
            <w:r w:rsidRPr="0037160F">
              <w:rPr>
                <w:color w:val="auto"/>
                <w:sz w:val="28"/>
              </w:rPr>
              <w:t>Data/Results</w:t>
            </w:r>
            <w:r>
              <w:rPr>
                <w:color w:val="auto"/>
                <w:sz w:val="28"/>
              </w:rPr>
              <w:t xml:space="preserve"> Collected</w:t>
            </w:r>
          </w:p>
        </w:tc>
        <w:tc>
          <w:tcPr>
            <w:tcW w:w="4320" w:type="dxa"/>
          </w:tcPr>
          <w:p w14:paraId="789767B4" w14:textId="77777777" w:rsidR="00030AF6" w:rsidRDefault="00030AF6" w:rsidP="003F4FFD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Some results lack sufficient details for external readers to understand them.</w:t>
            </w:r>
          </w:p>
          <w:p w14:paraId="63726F3B" w14:textId="77777777" w:rsidR="00030AF6" w:rsidRPr="0037160F" w:rsidRDefault="00030AF6" w:rsidP="003F4FFD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No results are compared to results from prior years.</w:t>
            </w:r>
          </w:p>
          <w:p w14:paraId="38221A9A" w14:textId="77777777" w:rsidR="00030AF6" w:rsidRPr="0037160F" w:rsidRDefault="00030AF6" w:rsidP="003F4F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6"/>
              </w:rPr>
            </w:pPr>
          </w:p>
        </w:tc>
        <w:tc>
          <w:tcPr>
            <w:tcW w:w="4320" w:type="dxa"/>
          </w:tcPr>
          <w:p w14:paraId="0F2DC6BD" w14:textId="6A2DEB11" w:rsidR="00617F5E" w:rsidRDefault="00617F5E" w:rsidP="00617F5E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6"/>
              </w:rPr>
            </w:pPr>
          </w:p>
          <w:p w14:paraId="7E9FE408" w14:textId="77777777" w:rsidR="00617F5E" w:rsidRDefault="00617F5E" w:rsidP="00617F5E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6"/>
              </w:rPr>
            </w:pPr>
          </w:p>
          <w:p w14:paraId="71E2D940" w14:textId="5E521CF5" w:rsidR="00030AF6" w:rsidRPr="00E968D7" w:rsidRDefault="00030AF6" w:rsidP="00617F5E">
            <w:pPr>
              <w:pStyle w:val="ListParagraph"/>
              <w:numPr>
                <w:ilvl w:val="0"/>
                <w:numId w:val="3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The results of several measures for which data from prior years exists are compared to those </w:t>
            </w:r>
            <w:r w:rsidR="005722B6">
              <w:rPr>
                <w:sz w:val="18"/>
                <w:szCs w:val="16"/>
              </w:rPr>
              <w:t>data</w:t>
            </w:r>
            <w:r>
              <w:rPr>
                <w:sz w:val="18"/>
                <w:szCs w:val="16"/>
              </w:rPr>
              <w:t>.</w:t>
            </w:r>
          </w:p>
          <w:p w14:paraId="26B55D65" w14:textId="77777777" w:rsidR="00030AF6" w:rsidRPr="0037160F" w:rsidRDefault="00030AF6" w:rsidP="003F4F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6"/>
              </w:rPr>
            </w:pPr>
          </w:p>
        </w:tc>
        <w:tc>
          <w:tcPr>
            <w:tcW w:w="4050" w:type="dxa"/>
            <w:shd w:val="clear" w:color="auto" w:fill="BDD6EE" w:themeFill="accent1" w:themeFillTint="66"/>
          </w:tcPr>
          <w:p w14:paraId="2AC85FBA" w14:textId="77777777" w:rsidR="00617F5E" w:rsidRDefault="00617F5E" w:rsidP="00617F5E">
            <w:pPr>
              <w:pStyle w:val="ListParagraph"/>
              <w:numPr>
                <w:ilvl w:val="0"/>
                <w:numId w:val="3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All results contain sufficient details for external readers to understand them.</w:t>
            </w:r>
          </w:p>
          <w:p w14:paraId="6DB0D4E3" w14:textId="77777777" w:rsidR="003A72B4" w:rsidRDefault="003A72B4" w:rsidP="00617F5E">
            <w:pPr>
              <w:pStyle w:val="ListParagraph"/>
              <w:numPr>
                <w:ilvl w:val="0"/>
                <w:numId w:val="3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The results of all measures for which data from prior years exists are compared to those data.</w:t>
            </w:r>
          </w:p>
          <w:p w14:paraId="33E40CA4" w14:textId="77777777" w:rsidR="00030AF6" w:rsidRPr="0037160F" w:rsidRDefault="00030AF6" w:rsidP="003F4F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6"/>
              </w:rPr>
            </w:pPr>
          </w:p>
        </w:tc>
      </w:tr>
      <w:tr w:rsidR="00030AF6" w:rsidRPr="0037160F" w14:paraId="0E4F2AE2" w14:textId="77777777" w:rsidTr="00030A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  <w:vAlign w:val="center"/>
          </w:tcPr>
          <w:p w14:paraId="116E8658" w14:textId="77777777" w:rsidR="00030AF6" w:rsidRDefault="00030AF6" w:rsidP="00881EFF">
            <w:pPr>
              <w:jc w:val="center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Column 5:</w:t>
            </w:r>
          </w:p>
          <w:p w14:paraId="582499AF" w14:textId="77777777" w:rsidR="00030AF6" w:rsidRPr="0037160F" w:rsidRDefault="00030AF6" w:rsidP="00881EFF">
            <w:pPr>
              <w:jc w:val="center"/>
              <w:rPr>
                <w:color w:val="auto"/>
                <w:sz w:val="32"/>
              </w:rPr>
            </w:pPr>
            <w:r w:rsidRPr="0037160F">
              <w:rPr>
                <w:color w:val="auto"/>
                <w:sz w:val="28"/>
              </w:rPr>
              <w:t>Use of Results</w:t>
            </w:r>
          </w:p>
        </w:tc>
        <w:tc>
          <w:tcPr>
            <w:tcW w:w="4320" w:type="dxa"/>
          </w:tcPr>
          <w:p w14:paraId="0F28C5DD" w14:textId="77777777" w:rsidR="00030AF6" w:rsidRPr="003821AC" w:rsidRDefault="00030AF6" w:rsidP="003F4FFD">
            <w:pPr>
              <w:pStyle w:val="ListParagraph"/>
              <w:numPr>
                <w:ilvl w:val="0"/>
                <w:numId w:val="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6"/>
              </w:rPr>
            </w:pPr>
            <w:r w:rsidRPr="003821AC">
              <w:rPr>
                <w:sz w:val="18"/>
                <w:szCs w:val="16"/>
              </w:rPr>
              <w:t xml:space="preserve">There is a “closing of the loop” for some, but not all, of the findings where student outcome goals were not met. Benchmarks that are met </w:t>
            </w:r>
            <w:r w:rsidR="005722B6">
              <w:rPr>
                <w:sz w:val="18"/>
                <w:szCs w:val="16"/>
              </w:rPr>
              <w:t>receive little attention</w:t>
            </w:r>
            <w:r w:rsidRPr="003821AC">
              <w:rPr>
                <w:sz w:val="18"/>
                <w:szCs w:val="16"/>
              </w:rPr>
              <w:t>.</w:t>
            </w:r>
          </w:p>
          <w:p w14:paraId="2A3B695B" w14:textId="77777777" w:rsidR="00030AF6" w:rsidRPr="0037160F" w:rsidRDefault="00030AF6" w:rsidP="003F4F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6"/>
              </w:rPr>
            </w:pPr>
          </w:p>
        </w:tc>
        <w:tc>
          <w:tcPr>
            <w:tcW w:w="4320" w:type="dxa"/>
          </w:tcPr>
          <w:p w14:paraId="44459922" w14:textId="77777777" w:rsidR="00030AF6" w:rsidRPr="0037160F" w:rsidRDefault="00030AF6" w:rsidP="003821AC">
            <w:pPr>
              <w:pStyle w:val="ListParagraph"/>
              <w:numPr>
                <w:ilvl w:val="0"/>
                <w:numId w:val="1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6"/>
              </w:rPr>
            </w:pPr>
            <w:r w:rsidRPr="0037160F">
              <w:rPr>
                <w:sz w:val="18"/>
                <w:szCs w:val="16"/>
              </w:rPr>
              <w:t xml:space="preserve">There is a “closing of the loop” for </w:t>
            </w:r>
            <w:r>
              <w:rPr>
                <w:sz w:val="18"/>
                <w:szCs w:val="16"/>
              </w:rPr>
              <w:t>all</w:t>
            </w:r>
            <w:r w:rsidRPr="0037160F">
              <w:rPr>
                <w:sz w:val="18"/>
                <w:szCs w:val="16"/>
              </w:rPr>
              <w:t xml:space="preserve"> findings</w:t>
            </w:r>
            <w:r>
              <w:rPr>
                <w:sz w:val="18"/>
                <w:szCs w:val="16"/>
              </w:rPr>
              <w:t xml:space="preserve"> where student outcome goals were not met. If a plan of action consists of “wait and see,” the plan is explicit about what would need to be seen to merit further action. </w:t>
            </w:r>
            <w:r w:rsidRPr="003821AC">
              <w:rPr>
                <w:sz w:val="18"/>
                <w:szCs w:val="16"/>
              </w:rPr>
              <w:t xml:space="preserve">Benchmarks that are met </w:t>
            </w:r>
            <w:r w:rsidR="005722B6">
              <w:rPr>
                <w:sz w:val="18"/>
                <w:szCs w:val="16"/>
              </w:rPr>
              <w:t>receive little attention</w:t>
            </w:r>
            <w:r w:rsidRPr="003821AC">
              <w:rPr>
                <w:sz w:val="18"/>
                <w:szCs w:val="16"/>
              </w:rPr>
              <w:t>.</w:t>
            </w:r>
          </w:p>
          <w:p w14:paraId="3D10755C" w14:textId="77777777" w:rsidR="00030AF6" w:rsidRPr="0037160F" w:rsidRDefault="00030AF6" w:rsidP="003F4F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6"/>
              </w:rPr>
            </w:pPr>
          </w:p>
          <w:p w14:paraId="3B731341" w14:textId="77777777" w:rsidR="00030AF6" w:rsidRPr="0037160F" w:rsidRDefault="00030AF6" w:rsidP="003F4F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6"/>
              </w:rPr>
            </w:pPr>
          </w:p>
        </w:tc>
        <w:tc>
          <w:tcPr>
            <w:tcW w:w="4050" w:type="dxa"/>
          </w:tcPr>
          <w:p w14:paraId="48B66D5E" w14:textId="77777777" w:rsidR="003A72B4" w:rsidRPr="0037160F" w:rsidRDefault="003A72B4" w:rsidP="003A72B4">
            <w:pPr>
              <w:pStyle w:val="ListParagraph"/>
              <w:numPr>
                <w:ilvl w:val="0"/>
                <w:numId w:val="2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6"/>
              </w:rPr>
            </w:pPr>
            <w:r w:rsidRPr="003821AC">
              <w:rPr>
                <w:sz w:val="18"/>
                <w:szCs w:val="16"/>
              </w:rPr>
              <w:t>The plan of action for “closing the loop” where outcome goals were not met demonstrates a highly proactive response involving most or all of the program faculty.</w:t>
            </w:r>
            <w:r>
              <w:rPr>
                <w:sz w:val="18"/>
                <w:szCs w:val="16"/>
              </w:rPr>
              <w:t xml:space="preserve"> </w:t>
            </w:r>
            <w:r w:rsidRPr="003821AC">
              <w:rPr>
                <w:sz w:val="18"/>
                <w:szCs w:val="16"/>
              </w:rPr>
              <w:t xml:space="preserve">Benchmarks that are met receive some reflection, </w:t>
            </w:r>
            <w:r>
              <w:rPr>
                <w:sz w:val="18"/>
                <w:szCs w:val="16"/>
              </w:rPr>
              <w:t>including reflection on whether</w:t>
            </w:r>
            <w:r w:rsidRPr="003821AC">
              <w:rPr>
                <w:sz w:val="18"/>
                <w:szCs w:val="16"/>
              </w:rPr>
              <w:t xml:space="preserve"> the benchmarks </w:t>
            </w:r>
            <w:r>
              <w:rPr>
                <w:sz w:val="18"/>
                <w:szCs w:val="16"/>
              </w:rPr>
              <w:t>might need to</w:t>
            </w:r>
            <w:r w:rsidRPr="003821AC">
              <w:rPr>
                <w:sz w:val="18"/>
                <w:szCs w:val="16"/>
              </w:rPr>
              <w:t xml:space="preserve"> be </w:t>
            </w:r>
            <w:r>
              <w:rPr>
                <w:sz w:val="18"/>
                <w:szCs w:val="16"/>
              </w:rPr>
              <w:t>revised for the sake of continuous improvement</w:t>
            </w:r>
            <w:r w:rsidRPr="003821AC">
              <w:rPr>
                <w:sz w:val="18"/>
                <w:szCs w:val="16"/>
              </w:rPr>
              <w:t>.</w:t>
            </w:r>
          </w:p>
          <w:p w14:paraId="198E974D" w14:textId="77777777" w:rsidR="00030AF6" w:rsidRPr="0037160F" w:rsidRDefault="00030AF6" w:rsidP="003F4F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6"/>
              </w:rPr>
            </w:pPr>
          </w:p>
        </w:tc>
      </w:tr>
      <w:tr w:rsidR="00AE5421" w:rsidRPr="0037160F" w14:paraId="0DEBADC1" w14:textId="77777777" w:rsidTr="003A72B4">
        <w:trPr>
          <w:trHeight w:val="179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  <w:vAlign w:val="center"/>
          </w:tcPr>
          <w:p w14:paraId="0E2CE5A3" w14:textId="77777777" w:rsidR="00AE5421" w:rsidRPr="0037160F" w:rsidRDefault="00AE5421" w:rsidP="00881EFF">
            <w:pPr>
              <w:jc w:val="center"/>
              <w:rPr>
                <w:sz w:val="28"/>
              </w:rPr>
            </w:pPr>
          </w:p>
        </w:tc>
        <w:tc>
          <w:tcPr>
            <w:tcW w:w="4320" w:type="dxa"/>
          </w:tcPr>
          <w:p w14:paraId="6B726745" w14:textId="77777777" w:rsidR="005A788D" w:rsidRPr="005A788D" w:rsidRDefault="005A788D" w:rsidP="000E1F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</w:rPr>
            </w:pPr>
          </w:p>
        </w:tc>
        <w:tc>
          <w:tcPr>
            <w:tcW w:w="4320" w:type="dxa"/>
          </w:tcPr>
          <w:p w14:paraId="1EF09FBB" w14:textId="77777777" w:rsidR="005A788D" w:rsidRPr="000E1F1B" w:rsidRDefault="005A788D" w:rsidP="000E1F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6"/>
              </w:rPr>
            </w:pPr>
          </w:p>
        </w:tc>
        <w:tc>
          <w:tcPr>
            <w:tcW w:w="4050" w:type="dxa"/>
            <w:shd w:val="clear" w:color="auto" w:fill="5B9BD5" w:themeFill="accent1"/>
            <w:vAlign w:val="center"/>
          </w:tcPr>
          <w:p w14:paraId="102C7E83" w14:textId="77777777" w:rsidR="003A72B4" w:rsidRPr="003A72B4" w:rsidRDefault="003A72B4" w:rsidP="003A72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A72B4">
              <w:rPr>
                <w:sz w:val="18"/>
                <w:szCs w:val="18"/>
              </w:rPr>
              <w:t>No rubrics are used for assessment</w:t>
            </w:r>
          </w:p>
          <w:p w14:paraId="15FE1633" w14:textId="30957387" w:rsidR="003A72B4" w:rsidRDefault="00000000" w:rsidP="003A72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sdt>
              <w:sdtPr>
                <w:rPr>
                  <w:b/>
                  <w:sz w:val="36"/>
                  <w:szCs w:val="36"/>
                </w:rPr>
                <w:id w:val="1262721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B4BD6">
                  <w:rPr>
                    <w:rFonts w:ascii="MS Gothic" w:eastAsia="MS Gothic" w:hAnsi="MS Gothic" w:hint="eastAsia"/>
                    <w:b/>
                    <w:sz w:val="36"/>
                    <w:szCs w:val="36"/>
                  </w:rPr>
                  <w:t>☐</w:t>
                </w:r>
              </w:sdtContent>
            </w:sdt>
            <w:r w:rsidR="003A72B4">
              <w:rPr>
                <w:b/>
                <w:sz w:val="28"/>
                <w:szCs w:val="28"/>
              </w:rPr>
              <w:t xml:space="preserve"> </w:t>
            </w:r>
          </w:p>
          <w:p w14:paraId="4FA65541" w14:textId="77777777" w:rsidR="00AE5421" w:rsidRPr="003A72B4" w:rsidRDefault="003A72B4" w:rsidP="003A72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A72B4">
              <w:rPr>
                <w:sz w:val="18"/>
                <w:szCs w:val="18"/>
              </w:rPr>
              <w:t>R</w:t>
            </w:r>
            <w:r w:rsidR="000E1F1B" w:rsidRPr="003A72B4">
              <w:rPr>
                <w:sz w:val="18"/>
                <w:szCs w:val="18"/>
              </w:rPr>
              <w:t>ubrics</w:t>
            </w:r>
            <w:r w:rsidRPr="003A72B4">
              <w:rPr>
                <w:sz w:val="18"/>
                <w:szCs w:val="18"/>
              </w:rPr>
              <w:t xml:space="preserve"> are used for assessment</w:t>
            </w:r>
            <w:r w:rsidR="000E1F1B" w:rsidRPr="003A72B4">
              <w:rPr>
                <w:sz w:val="18"/>
                <w:szCs w:val="18"/>
              </w:rPr>
              <w:t xml:space="preserve"> </w:t>
            </w:r>
            <w:r w:rsidRPr="00392492">
              <w:rPr>
                <w:i/>
                <w:sz w:val="18"/>
                <w:szCs w:val="18"/>
              </w:rPr>
              <w:t>and</w:t>
            </w:r>
            <w:r w:rsidRPr="003A72B4">
              <w:rPr>
                <w:sz w:val="18"/>
                <w:szCs w:val="18"/>
              </w:rPr>
              <w:t xml:space="preserve"> are included with the report</w:t>
            </w:r>
          </w:p>
          <w:sdt>
            <w:sdtPr>
              <w:rPr>
                <w:sz w:val="36"/>
                <w:szCs w:val="36"/>
              </w:rPr>
              <w:id w:val="-148885929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B217754" w14:textId="77777777" w:rsidR="005A788D" w:rsidRPr="000E1F1B" w:rsidRDefault="00F20F9E" w:rsidP="005A788D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/>
                    <w:sz w:val="28"/>
                    <w:szCs w:val="28"/>
                  </w:rPr>
                </w:pPr>
                <w:r w:rsidRPr="003A72B4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sdtContent>
          </w:sdt>
        </w:tc>
      </w:tr>
    </w:tbl>
    <w:p w14:paraId="25758F98" w14:textId="77777777" w:rsidR="00516E3A" w:rsidRDefault="00C970A9" w:rsidP="0080614C">
      <w:pPr>
        <w:spacing w:after="0"/>
        <w:rPr>
          <w:sz w:val="28"/>
        </w:rPr>
      </w:pP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 w:rsidR="00241FFA">
        <w:rPr>
          <w:sz w:val="32"/>
        </w:rPr>
        <w:t xml:space="preserve">     </w:t>
      </w:r>
    </w:p>
    <w:p w14:paraId="2A1282D3" w14:textId="77777777" w:rsidR="00C970A9" w:rsidRPr="00FC7A41" w:rsidRDefault="00241FFA" w:rsidP="00516E3A">
      <w:pPr>
        <w:spacing w:after="0"/>
        <w:rPr>
          <w:sz w:val="28"/>
          <w:szCs w:val="28"/>
        </w:rPr>
      </w:pPr>
      <w:r w:rsidRPr="00FC7A41">
        <w:rPr>
          <w:sz w:val="28"/>
          <w:szCs w:val="28"/>
        </w:rPr>
        <w:t>N</w:t>
      </w:r>
      <w:r w:rsidR="00C970A9" w:rsidRPr="00FC7A41">
        <w:rPr>
          <w:sz w:val="28"/>
          <w:szCs w:val="28"/>
        </w:rPr>
        <w:t xml:space="preserve">otes: </w:t>
      </w:r>
    </w:p>
    <w:p w14:paraId="2331B2DE" w14:textId="77777777" w:rsidR="00581D80" w:rsidRPr="00FC7A41" w:rsidRDefault="00C970A9" w:rsidP="0040188C">
      <w:pPr>
        <w:rPr>
          <w:sz w:val="28"/>
          <w:szCs w:val="28"/>
        </w:rPr>
      </w:pPr>
      <w:r w:rsidRPr="00FC7A41">
        <w:rPr>
          <w:sz w:val="28"/>
          <w:szCs w:val="28"/>
        </w:rPr>
        <w:tab/>
      </w:r>
      <w:r w:rsidRPr="00FC7A41">
        <w:rPr>
          <w:sz w:val="28"/>
          <w:szCs w:val="28"/>
        </w:rPr>
        <w:tab/>
      </w:r>
      <w:r w:rsidRPr="00FC7A41">
        <w:rPr>
          <w:sz w:val="28"/>
          <w:szCs w:val="28"/>
        </w:rPr>
        <w:tab/>
      </w:r>
      <w:r w:rsidRPr="00FC7A41">
        <w:rPr>
          <w:sz w:val="28"/>
          <w:szCs w:val="28"/>
        </w:rPr>
        <w:tab/>
      </w:r>
      <w:r w:rsidRPr="00FC7A41">
        <w:rPr>
          <w:sz w:val="28"/>
          <w:szCs w:val="28"/>
        </w:rPr>
        <w:tab/>
      </w:r>
      <w:r w:rsidRPr="00FC7A41">
        <w:rPr>
          <w:sz w:val="28"/>
          <w:szCs w:val="28"/>
        </w:rPr>
        <w:tab/>
      </w:r>
      <w:r w:rsidRPr="00FC7A41">
        <w:rPr>
          <w:sz w:val="28"/>
          <w:szCs w:val="28"/>
        </w:rPr>
        <w:tab/>
      </w:r>
      <w:r w:rsidRPr="00FC7A41">
        <w:rPr>
          <w:sz w:val="28"/>
          <w:szCs w:val="28"/>
        </w:rPr>
        <w:tab/>
      </w:r>
      <w:r w:rsidRPr="00FC7A41">
        <w:rPr>
          <w:sz w:val="28"/>
          <w:szCs w:val="28"/>
        </w:rPr>
        <w:tab/>
      </w:r>
      <w:r w:rsidRPr="00FC7A41">
        <w:rPr>
          <w:sz w:val="28"/>
          <w:szCs w:val="28"/>
        </w:rPr>
        <w:tab/>
      </w:r>
      <w:r w:rsidRPr="00FC7A41">
        <w:rPr>
          <w:sz w:val="28"/>
          <w:szCs w:val="28"/>
        </w:rPr>
        <w:tab/>
      </w:r>
      <w:r w:rsidRPr="00FC7A41">
        <w:rPr>
          <w:sz w:val="28"/>
          <w:szCs w:val="28"/>
        </w:rPr>
        <w:tab/>
      </w:r>
      <w:r w:rsidRPr="00FC7A41">
        <w:rPr>
          <w:sz w:val="28"/>
          <w:szCs w:val="28"/>
        </w:rPr>
        <w:tab/>
      </w:r>
      <w:r w:rsidRPr="00FC7A41">
        <w:rPr>
          <w:sz w:val="28"/>
          <w:szCs w:val="28"/>
        </w:rPr>
        <w:tab/>
      </w:r>
      <w:r w:rsidRPr="00FC7A41">
        <w:rPr>
          <w:sz w:val="28"/>
          <w:szCs w:val="28"/>
        </w:rPr>
        <w:tab/>
      </w:r>
      <w:r w:rsidRPr="00FC7A41">
        <w:rPr>
          <w:sz w:val="28"/>
          <w:szCs w:val="28"/>
        </w:rPr>
        <w:tab/>
      </w:r>
      <w:r w:rsidRPr="00FC7A41">
        <w:rPr>
          <w:sz w:val="28"/>
          <w:szCs w:val="28"/>
        </w:rPr>
        <w:tab/>
      </w:r>
      <w:r w:rsidRPr="00FC7A41">
        <w:rPr>
          <w:sz w:val="28"/>
          <w:szCs w:val="28"/>
        </w:rPr>
        <w:tab/>
      </w:r>
      <w:r w:rsidRPr="00FC7A41">
        <w:rPr>
          <w:sz w:val="28"/>
          <w:szCs w:val="28"/>
        </w:rPr>
        <w:tab/>
      </w:r>
      <w:r w:rsidRPr="00FC7A41">
        <w:rPr>
          <w:sz w:val="28"/>
          <w:szCs w:val="28"/>
        </w:rPr>
        <w:tab/>
      </w:r>
      <w:r w:rsidRPr="00FC7A41">
        <w:rPr>
          <w:sz w:val="28"/>
          <w:szCs w:val="28"/>
        </w:rPr>
        <w:tab/>
      </w:r>
      <w:r w:rsidRPr="00FC7A41">
        <w:rPr>
          <w:sz w:val="28"/>
          <w:szCs w:val="28"/>
        </w:rPr>
        <w:tab/>
      </w:r>
      <w:r w:rsidRPr="00FC7A41">
        <w:rPr>
          <w:sz w:val="28"/>
          <w:szCs w:val="28"/>
        </w:rPr>
        <w:tab/>
      </w:r>
    </w:p>
    <w:p w14:paraId="44A7BCCC" w14:textId="77777777" w:rsidR="00581D80" w:rsidRPr="00FC7A41" w:rsidRDefault="00581D80" w:rsidP="0040188C">
      <w:pPr>
        <w:rPr>
          <w:sz w:val="28"/>
          <w:szCs w:val="28"/>
        </w:rPr>
      </w:pPr>
    </w:p>
    <w:p w14:paraId="7202C941" w14:textId="77777777" w:rsidR="00581D80" w:rsidRPr="00FC7A41" w:rsidRDefault="00581D80" w:rsidP="0040188C">
      <w:pPr>
        <w:rPr>
          <w:sz w:val="28"/>
          <w:szCs w:val="28"/>
        </w:rPr>
      </w:pPr>
    </w:p>
    <w:p w14:paraId="6FEFB913" w14:textId="77777777" w:rsidR="008E1DED" w:rsidRPr="00FC7A41" w:rsidRDefault="00000000">
      <w:pPr>
        <w:rPr>
          <w:sz w:val="28"/>
          <w:szCs w:val="28"/>
        </w:rPr>
      </w:pPr>
    </w:p>
    <w:sectPr w:rsidR="008E1DED" w:rsidRPr="00FC7A41" w:rsidSect="00A70304">
      <w:pgSz w:w="15840" w:h="12240" w:orient="landscape"/>
      <w:pgMar w:top="576" w:right="576" w:bottom="576" w:left="5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67741A" w14:textId="77777777" w:rsidR="00474C6E" w:rsidRDefault="00474C6E" w:rsidP="00727508">
      <w:pPr>
        <w:spacing w:after="0" w:line="240" w:lineRule="auto"/>
      </w:pPr>
      <w:r>
        <w:separator/>
      </w:r>
    </w:p>
  </w:endnote>
  <w:endnote w:type="continuationSeparator" w:id="0">
    <w:p w14:paraId="5D03D49B" w14:textId="77777777" w:rsidR="00474C6E" w:rsidRDefault="00474C6E" w:rsidP="007275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2712EE" w14:textId="77777777" w:rsidR="00474C6E" w:rsidRDefault="00474C6E" w:rsidP="00727508">
      <w:pPr>
        <w:spacing w:after="0" w:line="240" w:lineRule="auto"/>
      </w:pPr>
      <w:r>
        <w:separator/>
      </w:r>
    </w:p>
  </w:footnote>
  <w:footnote w:type="continuationSeparator" w:id="0">
    <w:p w14:paraId="55524316" w14:textId="77777777" w:rsidR="00474C6E" w:rsidRDefault="00474C6E" w:rsidP="007275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125B2"/>
    <w:multiLevelType w:val="hybridMultilevel"/>
    <w:tmpl w:val="C930DFAA"/>
    <w:lvl w:ilvl="0" w:tplc="E9E6B9BC">
      <w:start w:val="4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3031FB"/>
    <w:multiLevelType w:val="hybridMultilevel"/>
    <w:tmpl w:val="7004D66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B15D08"/>
    <w:multiLevelType w:val="hybridMultilevel"/>
    <w:tmpl w:val="446AEC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264165"/>
    <w:multiLevelType w:val="hybridMultilevel"/>
    <w:tmpl w:val="F198DAE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5759B5"/>
    <w:multiLevelType w:val="hybridMultilevel"/>
    <w:tmpl w:val="9132C48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A85350"/>
    <w:multiLevelType w:val="hybridMultilevel"/>
    <w:tmpl w:val="E20CA7C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DC67AD"/>
    <w:multiLevelType w:val="hybridMultilevel"/>
    <w:tmpl w:val="98E6295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452643"/>
    <w:multiLevelType w:val="hybridMultilevel"/>
    <w:tmpl w:val="1AEE8A1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A139EC"/>
    <w:multiLevelType w:val="hybridMultilevel"/>
    <w:tmpl w:val="894817B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234677"/>
    <w:multiLevelType w:val="hybridMultilevel"/>
    <w:tmpl w:val="184EACD0"/>
    <w:lvl w:ilvl="0" w:tplc="6050573A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AD2934"/>
    <w:multiLevelType w:val="hybridMultilevel"/>
    <w:tmpl w:val="BA70D60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1432A3"/>
    <w:multiLevelType w:val="hybridMultilevel"/>
    <w:tmpl w:val="89EEF8A8"/>
    <w:lvl w:ilvl="0" w:tplc="EED293BE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291B53"/>
    <w:multiLevelType w:val="hybridMultilevel"/>
    <w:tmpl w:val="85DCE95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EF3E3D"/>
    <w:multiLevelType w:val="hybridMultilevel"/>
    <w:tmpl w:val="F2C40B8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CA0196"/>
    <w:multiLevelType w:val="hybridMultilevel"/>
    <w:tmpl w:val="F2C40B8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990B24"/>
    <w:multiLevelType w:val="hybridMultilevel"/>
    <w:tmpl w:val="2D60128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0801AF"/>
    <w:multiLevelType w:val="hybridMultilevel"/>
    <w:tmpl w:val="85C08F14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D532FDF"/>
    <w:multiLevelType w:val="hybridMultilevel"/>
    <w:tmpl w:val="8B5854A0"/>
    <w:lvl w:ilvl="0" w:tplc="A1CC9320">
      <w:start w:val="4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BE10A4"/>
    <w:multiLevelType w:val="hybridMultilevel"/>
    <w:tmpl w:val="26D41026"/>
    <w:lvl w:ilvl="0" w:tplc="AB6CE040">
      <w:start w:val="5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0619C3"/>
    <w:multiLevelType w:val="hybridMultilevel"/>
    <w:tmpl w:val="FA402DB8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DD1BDD"/>
    <w:multiLevelType w:val="hybridMultilevel"/>
    <w:tmpl w:val="2E7A4920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14C7C8D"/>
    <w:multiLevelType w:val="hybridMultilevel"/>
    <w:tmpl w:val="07C212A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0C6A14"/>
    <w:multiLevelType w:val="hybridMultilevel"/>
    <w:tmpl w:val="B602FCFC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B743C9"/>
    <w:multiLevelType w:val="hybridMultilevel"/>
    <w:tmpl w:val="63148FA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2C58A5"/>
    <w:multiLevelType w:val="hybridMultilevel"/>
    <w:tmpl w:val="184EACD0"/>
    <w:lvl w:ilvl="0" w:tplc="6050573A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9B14FE"/>
    <w:multiLevelType w:val="hybridMultilevel"/>
    <w:tmpl w:val="F6C20C66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E6208D"/>
    <w:multiLevelType w:val="hybridMultilevel"/>
    <w:tmpl w:val="F6C20C6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6F496C"/>
    <w:multiLevelType w:val="hybridMultilevel"/>
    <w:tmpl w:val="F7285DB2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161744E"/>
    <w:multiLevelType w:val="hybridMultilevel"/>
    <w:tmpl w:val="49884F3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B07D45"/>
    <w:multiLevelType w:val="hybridMultilevel"/>
    <w:tmpl w:val="26D41026"/>
    <w:lvl w:ilvl="0" w:tplc="AB6CE040">
      <w:start w:val="5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141D1A"/>
    <w:multiLevelType w:val="hybridMultilevel"/>
    <w:tmpl w:val="48149E4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0D6106"/>
    <w:multiLevelType w:val="hybridMultilevel"/>
    <w:tmpl w:val="54D847E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2F74AB"/>
    <w:multiLevelType w:val="hybridMultilevel"/>
    <w:tmpl w:val="21D2FC24"/>
    <w:lvl w:ilvl="0" w:tplc="0AD27CCA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4A0541"/>
    <w:multiLevelType w:val="hybridMultilevel"/>
    <w:tmpl w:val="63148FA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CE2370C"/>
    <w:multiLevelType w:val="hybridMultilevel"/>
    <w:tmpl w:val="FB9E5E9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0279154">
    <w:abstractNumId w:val="5"/>
  </w:num>
  <w:num w:numId="2" w16cid:durableId="1809546453">
    <w:abstractNumId w:val="8"/>
  </w:num>
  <w:num w:numId="3" w16cid:durableId="2100323970">
    <w:abstractNumId w:val="10"/>
  </w:num>
  <w:num w:numId="4" w16cid:durableId="1726373975">
    <w:abstractNumId w:val="4"/>
  </w:num>
  <w:num w:numId="5" w16cid:durableId="1766026431">
    <w:abstractNumId w:val="3"/>
  </w:num>
  <w:num w:numId="6" w16cid:durableId="1102191249">
    <w:abstractNumId w:val="20"/>
  </w:num>
  <w:num w:numId="7" w16cid:durableId="1473138759">
    <w:abstractNumId w:val="26"/>
  </w:num>
  <w:num w:numId="8" w16cid:durableId="1122069107">
    <w:abstractNumId w:val="28"/>
  </w:num>
  <w:num w:numId="9" w16cid:durableId="1283534218">
    <w:abstractNumId w:val="1"/>
  </w:num>
  <w:num w:numId="10" w16cid:durableId="2086565300">
    <w:abstractNumId w:val="21"/>
  </w:num>
  <w:num w:numId="11" w16cid:durableId="1878930701">
    <w:abstractNumId w:val="7"/>
  </w:num>
  <w:num w:numId="12" w16cid:durableId="550503923">
    <w:abstractNumId w:val="16"/>
  </w:num>
  <w:num w:numId="13" w16cid:durableId="366611810">
    <w:abstractNumId w:val="30"/>
  </w:num>
  <w:num w:numId="14" w16cid:durableId="1004741548">
    <w:abstractNumId w:val="34"/>
  </w:num>
  <w:num w:numId="15" w16cid:durableId="781418021">
    <w:abstractNumId w:val="33"/>
  </w:num>
  <w:num w:numId="16" w16cid:durableId="493181684">
    <w:abstractNumId w:val="15"/>
  </w:num>
  <w:num w:numId="17" w16cid:durableId="204753537">
    <w:abstractNumId w:val="6"/>
  </w:num>
  <w:num w:numId="18" w16cid:durableId="1131023264">
    <w:abstractNumId w:val="27"/>
  </w:num>
  <w:num w:numId="19" w16cid:durableId="433478785">
    <w:abstractNumId w:val="13"/>
  </w:num>
  <w:num w:numId="20" w16cid:durableId="761026150">
    <w:abstractNumId w:val="31"/>
  </w:num>
  <w:num w:numId="21" w16cid:durableId="1999840843">
    <w:abstractNumId w:val="12"/>
  </w:num>
  <w:num w:numId="22" w16cid:durableId="1356542466">
    <w:abstractNumId w:val="2"/>
  </w:num>
  <w:num w:numId="23" w16cid:durableId="1847018973">
    <w:abstractNumId w:val="14"/>
  </w:num>
  <w:num w:numId="24" w16cid:durableId="96024923">
    <w:abstractNumId w:val="23"/>
  </w:num>
  <w:num w:numId="25" w16cid:durableId="1549417137">
    <w:abstractNumId w:val="24"/>
  </w:num>
  <w:num w:numId="26" w16cid:durableId="1206412108">
    <w:abstractNumId w:val="9"/>
  </w:num>
  <w:num w:numId="27" w16cid:durableId="2115128840">
    <w:abstractNumId w:val="18"/>
  </w:num>
  <w:num w:numId="28" w16cid:durableId="31468421">
    <w:abstractNumId w:val="29"/>
  </w:num>
  <w:num w:numId="29" w16cid:durableId="309872219">
    <w:abstractNumId w:val="11"/>
  </w:num>
  <w:num w:numId="30" w16cid:durableId="2092505243">
    <w:abstractNumId w:val="0"/>
  </w:num>
  <w:num w:numId="31" w16cid:durableId="2008554916">
    <w:abstractNumId w:val="25"/>
  </w:num>
  <w:num w:numId="32" w16cid:durableId="2129470003">
    <w:abstractNumId w:val="19"/>
  </w:num>
  <w:num w:numId="33" w16cid:durableId="320433190">
    <w:abstractNumId w:val="17"/>
  </w:num>
  <w:num w:numId="34" w16cid:durableId="946500162">
    <w:abstractNumId w:val="22"/>
  </w:num>
  <w:num w:numId="35" w16cid:durableId="1761564891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188C"/>
    <w:rsid w:val="0002378D"/>
    <w:rsid w:val="00030AF6"/>
    <w:rsid w:val="00076FFE"/>
    <w:rsid w:val="000845B6"/>
    <w:rsid w:val="0008754A"/>
    <w:rsid w:val="000A405F"/>
    <w:rsid w:val="000B2466"/>
    <w:rsid w:val="000B7022"/>
    <w:rsid w:val="000E1F1B"/>
    <w:rsid w:val="001421C1"/>
    <w:rsid w:val="0019663D"/>
    <w:rsid w:val="0022113D"/>
    <w:rsid w:val="00241FFA"/>
    <w:rsid w:val="00274628"/>
    <w:rsid w:val="002A26B1"/>
    <w:rsid w:val="0031146D"/>
    <w:rsid w:val="0037160F"/>
    <w:rsid w:val="003821AC"/>
    <w:rsid w:val="00392492"/>
    <w:rsid w:val="003A02EA"/>
    <w:rsid w:val="003A72B4"/>
    <w:rsid w:val="003D03E9"/>
    <w:rsid w:val="003F4FFD"/>
    <w:rsid w:val="0040188C"/>
    <w:rsid w:val="004379BC"/>
    <w:rsid w:val="00474C6E"/>
    <w:rsid w:val="0049780A"/>
    <w:rsid w:val="00516E3A"/>
    <w:rsid w:val="00527F3F"/>
    <w:rsid w:val="0057122E"/>
    <w:rsid w:val="005722B6"/>
    <w:rsid w:val="00581D80"/>
    <w:rsid w:val="005A788D"/>
    <w:rsid w:val="005E6A61"/>
    <w:rsid w:val="005F3458"/>
    <w:rsid w:val="005F3479"/>
    <w:rsid w:val="00617F5E"/>
    <w:rsid w:val="00683087"/>
    <w:rsid w:val="006D5FD0"/>
    <w:rsid w:val="00727508"/>
    <w:rsid w:val="007424E7"/>
    <w:rsid w:val="00793806"/>
    <w:rsid w:val="0080614C"/>
    <w:rsid w:val="0081783E"/>
    <w:rsid w:val="0082712D"/>
    <w:rsid w:val="00842CA9"/>
    <w:rsid w:val="00881EFF"/>
    <w:rsid w:val="00892517"/>
    <w:rsid w:val="008B4ECC"/>
    <w:rsid w:val="008D4C99"/>
    <w:rsid w:val="00935B37"/>
    <w:rsid w:val="00945EDE"/>
    <w:rsid w:val="00995402"/>
    <w:rsid w:val="009E48E4"/>
    <w:rsid w:val="00A26326"/>
    <w:rsid w:val="00A31F0B"/>
    <w:rsid w:val="00A50882"/>
    <w:rsid w:val="00A70304"/>
    <w:rsid w:val="00A928CD"/>
    <w:rsid w:val="00AA3DCF"/>
    <w:rsid w:val="00AD3074"/>
    <w:rsid w:val="00AE5421"/>
    <w:rsid w:val="00BC2840"/>
    <w:rsid w:val="00C141B9"/>
    <w:rsid w:val="00C6096D"/>
    <w:rsid w:val="00C970A9"/>
    <w:rsid w:val="00CB4BD6"/>
    <w:rsid w:val="00D031DE"/>
    <w:rsid w:val="00D6562A"/>
    <w:rsid w:val="00D72994"/>
    <w:rsid w:val="00DD23FF"/>
    <w:rsid w:val="00E968D7"/>
    <w:rsid w:val="00EB6721"/>
    <w:rsid w:val="00EC2A1E"/>
    <w:rsid w:val="00F20F9E"/>
    <w:rsid w:val="00F372AE"/>
    <w:rsid w:val="00F5665C"/>
    <w:rsid w:val="00F97A21"/>
    <w:rsid w:val="00FC27D8"/>
    <w:rsid w:val="00FC7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EF430B"/>
  <w15:chartTrackingRefBased/>
  <w15:docId w15:val="{A449F90B-B69A-4065-BC76-4B1840C81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018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40188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40188C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40188C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40188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40188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40188C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5Dark-Accent5">
    <w:name w:val="Grid Table 5 Dark Accent 5"/>
    <w:basedOn w:val="TableNormal"/>
    <w:uiPriority w:val="50"/>
    <w:rsid w:val="0040188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paragraph" w:styleId="ListParagraph">
    <w:name w:val="List Paragraph"/>
    <w:basedOn w:val="Normal"/>
    <w:uiPriority w:val="34"/>
    <w:qFormat/>
    <w:rsid w:val="0040188C"/>
    <w:pPr>
      <w:ind w:left="720"/>
      <w:contextualSpacing/>
    </w:pPr>
  </w:style>
  <w:style w:type="table" w:styleId="GridTable5Dark-Accent1">
    <w:name w:val="Grid Table 5 Dark Accent 1"/>
    <w:basedOn w:val="TableNormal"/>
    <w:uiPriority w:val="50"/>
    <w:rsid w:val="00881EF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3716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160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275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7508"/>
  </w:style>
  <w:style w:type="paragraph" w:styleId="Footer">
    <w:name w:val="footer"/>
    <w:basedOn w:val="Normal"/>
    <w:link w:val="FooterChar"/>
    <w:uiPriority w:val="99"/>
    <w:unhideWhenUsed/>
    <w:rsid w:val="007275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75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0E16A5-3D05-4B37-ADDA-FD45A204A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488</Words>
  <Characters>2783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Lindenwood University</Company>
  <LinksUpToDate>false</LinksUpToDate>
  <CharactersWithSpaces>3265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Branscum, Deanna</dc:creator>
  <cp:keywords/>
  <dc:description/>
  <cp:lastModifiedBy>Patterson-Mills, Sarah</cp:lastModifiedBy>
  <cp:revision>2</cp:revision>
  <cp:lastPrinted>2016-08-08T16:44:00Z</cp:lastPrinted>
  <dcterms:created xsi:type="dcterms:W3CDTF">2022-09-29T19:27:00Z</dcterms:created>
  <dcterms:modified xsi:type="dcterms:W3CDTF">2022-09-29T19:27:00Z</dcterms:modified>
</cp:coreProperties>
</file>