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0734D" w14:textId="77777777" w:rsidR="00A649C5" w:rsidRDefault="00A649C5" w:rsidP="00A649C5">
      <w:pPr>
        <w:rPr>
          <w:rFonts w:cs="Times New Roman"/>
        </w:rPr>
      </w:pPr>
      <w:r w:rsidRPr="006E30DA">
        <w:rPr>
          <w:rFonts w:cs="Times New Roman"/>
        </w:rPr>
        <w:t xml:space="preserve">Lindenwood University’s College of Education and Human Services (COEHS) systematically collects and analyzes multiple sources of completer data to evaluate the effectiveness of its educator preparation programs and the impact of program completers on P–12 student learning and development. </w:t>
      </w:r>
    </w:p>
    <w:p w14:paraId="17543A40" w14:textId="77777777" w:rsidR="00A649C5" w:rsidRPr="006E30DA" w:rsidRDefault="00A649C5" w:rsidP="00A649C5">
      <w:pPr>
        <w:rPr>
          <w:rFonts w:cs="Times New Roman"/>
        </w:rPr>
      </w:pPr>
      <w:r w:rsidRPr="006E30DA">
        <w:rPr>
          <w:rFonts w:cs="Times New Roman"/>
        </w:rPr>
        <w:t>This evidence narrative addresses</w:t>
      </w:r>
      <w:r>
        <w:rPr>
          <w:rFonts w:cs="Times New Roman"/>
        </w:rPr>
        <w:t xml:space="preserve"> CAEP Standard 4 Program Impact</w:t>
      </w:r>
      <w:r w:rsidRPr="006E30DA">
        <w:rPr>
          <w:rFonts w:cs="Times New Roman"/>
        </w:rPr>
        <w:t>:</w:t>
      </w:r>
    </w:p>
    <w:p w14:paraId="154B6499" w14:textId="77777777" w:rsidR="00A649C5" w:rsidRDefault="00A649C5" w:rsidP="00A649C5">
      <w:pPr>
        <w:numPr>
          <w:ilvl w:val="0"/>
          <w:numId w:val="14"/>
        </w:numPr>
        <w:rPr>
          <w:rFonts w:cs="Times New Roman"/>
        </w:rPr>
      </w:pPr>
      <w:r w:rsidRPr="006E30DA">
        <w:rPr>
          <w:rFonts w:cs="Times New Roman"/>
        </w:rPr>
        <w:t xml:space="preserve">R4.1: Completer </w:t>
      </w:r>
      <w:r>
        <w:rPr>
          <w:rFonts w:cs="Times New Roman"/>
        </w:rPr>
        <w:t>E</w:t>
      </w:r>
      <w:r w:rsidRPr="006E30DA">
        <w:rPr>
          <w:rFonts w:cs="Times New Roman"/>
        </w:rPr>
        <w:t xml:space="preserve">ffectiveness </w:t>
      </w:r>
    </w:p>
    <w:p w14:paraId="085EEFAB" w14:textId="77777777" w:rsidR="00A649C5" w:rsidRDefault="00A649C5" w:rsidP="00A649C5">
      <w:pPr>
        <w:numPr>
          <w:ilvl w:val="0"/>
          <w:numId w:val="14"/>
        </w:numPr>
        <w:rPr>
          <w:rFonts w:cs="Times New Roman"/>
        </w:rPr>
      </w:pPr>
      <w:r w:rsidRPr="006E30DA">
        <w:rPr>
          <w:rFonts w:cs="Times New Roman"/>
        </w:rPr>
        <w:t>R4.2 Satisfaction of Employers</w:t>
      </w:r>
    </w:p>
    <w:p w14:paraId="3D1D1B6F" w14:textId="77777777" w:rsidR="00A649C5" w:rsidRPr="006E30DA" w:rsidRDefault="00A649C5" w:rsidP="00A649C5">
      <w:pPr>
        <w:numPr>
          <w:ilvl w:val="0"/>
          <w:numId w:val="14"/>
        </w:numPr>
        <w:rPr>
          <w:rFonts w:cs="Times New Roman"/>
        </w:rPr>
      </w:pPr>
      <w:r w:rsidRPr="006E30DA">
        <w:rPr>
          <w:rFonts w:cs="Times New Roman"/>
        </w:rPr>
        <w:t>R4.3 Satisfaction of Completers</w:t>
      </w:r>
    </w:p>
    <w:p w14:paraId="20B24087" w14:textId="77777777" w:rsidR="00A649C5" w:rsidRPr="006E30DA" w:rsidRDefault="00A649C5" w:rsidP="00A649C5">
      <w:pPr>
        <w:rPr>
          <w:rFonts w:cs="Times New Roman"/>
        </w:rPr>
      </w:pPr>
      <w:r w:rsidRPr="006E30DA">
        <w:rPr>
          <w:rFonts w:cs="Times New Roman"/>
        </w:rPr>
        <w:t xml:space="preserve">The findings presented are based on analysis of </w:t>
      </w:r>
      <w:proofErr w:type="gramStart"/>
      <w:r w:rsidRPr="006E30DA">
        <w:rPr>
          <w:rFonts w:cs="Times New Roman"/>
        </w:rPr>
        <w:t>completer</w:t>
      </w:r>
      <w:proofErr w:type="gramEnd"/>
      <w:r w:rsidRPr="006E30DA">
        <w:rPr>
          <w:rFonts w:cs="Times New Roman"/>
        </w:rPr>
        <w:t xml:space="preserve"> self-report data and employer evaluations aligned to the Missouri Teacher Standards.</w:t>
      </w:r>
    </w:p>
    <w:p w14:paraId="345981F1" w14:textId="1CA0E141" w:rsidR="00EB3A1B" w:rsidRPr="00EB3A1B" w:rsidRDefault="00EB3A1B" w:rsidP="00EB3A1B">
      <w:pPr>
        <w:pStyle w:val="NormalWeb"/>
        <w:rPr>
          <w:color w:val="000000"/>
        </w:rPr>
      </w:pPr>
      <w:r w:rsidRPr="00EB3A1B">
        <w:rPr>
          <w:color w:val="000000"/>
        </w:rPr>
        <w:t>This analysis integrates multiple data sources to evaluate the effectiveness of Lindenwood University's teacher preparation programs:</w:t>
      </w:r>
    </w:p>
    <w:p w14:paraId="68DACBC5" w14:textId="4020067A" w:rsidR="00EB3A1B" w:rsidRPr="00EB3A1B" w:rsidRDefault="00EB3A1B" w:rsidP="00613BDF">
      <w:pPr>
        <w:pStyle w:val="NormalWeb"/>
        <w:ind w:firstLine="720"/>
        <w:rPr>
          <w:color w:val="000000"/>
        </w:rPr>
      </w:pPr>
      <w:r w:rsidRPr="00EB3A1B">
        <w:rPr>
          <w:color w:val="000000"/>
        </w:rPr>
        <w:t>1.</w:t>
      </w:r>
      <w:r w:rsidRPr="00EB3A1B">
        <w:rPr>
          <w:b/>
          <w:bCs/>
          <w:color w:val="000000"/>
        </w:rPr>
        <w:t xml:space="preserve"> Alumni Survey</w:t>
      </w:r>
      <w:r w:rsidRPr="00EB3A1B">
        <w:rPr>
          <w:color w:val="000000"/>
        </w:rPr>
        <w:t xml:space="preserve"> (</w:t>
      </w:r>
      <w:r w:rsidR="007E1D41">
        <w:rPr>
          <w:color w:val="000000"/>
        </w:rPr>
        <w:t>Audience size: 366.  Surveys started 36, Surveys finished 34, Response rate 10%, Completion rate 94%)</w:t>
      </w:r>
    </w:p>
    <w:p w14:paraId="48F2F211" w14:textId="41C277C0" w:rsidR="00613BDF" w:rsidRDefault="00EB3A1B" w:rsidP="00613BDF">
      <w:pPr>
        <w:pStyle w:val="NormalWeb"/>
        <w:ind w:left="720"/>
        <w:rPr>
          <w:color w:val="000000"/>
        </w:rPr>
      </w:pPr>
      <w:r w:rsidRPr="00EB3A1B">
        <w:rPr>
          <w:color w:val="000000"/>
        </w:rPr>
        <w:t xml:space="preserve">2. </w:t>
      </w:r>
      <w:r w:rsidRPr="00222E5C">
        <w:rPr>
          <w:b/>
          <w:bCs/>
          <w:color w:val="000000"/>
        </w:rPr>
        <w:t xml:space="preserve">First-Year Teacher's Principal Evaluation </w:t>
      </w:r>
      <w:r w:rsidR="00AE45E6">
        <w:rPr>
          <w:b/>
          <w:bCs/>
          <w:color w:val="000000"/>
        </w:rPr>
        <w:t>2025</w:t>
      </w:r>
    </w:p>
    <w:p w14:paraId="196D91F7" w14:textId="4B57FCEB" w:rsidR="00EB3A1B" w:rsidRDefault="00EB3A1B" w:rsidP="00613BDF">
      <w:pPr>
        <w:pStyle w:val="NormalWeb"/>
        <w:ind w:left="720"/>
        <w:rPr>
          <w:color w:val="000000"/>
        </w:rPr>
      </w:pPr>
      <w:r w:rsidRPr="00EB3A1B">
        <w:rPr>
          <w:color w:val="000000"/>
        </w:rPr>
        <w:t xml:space="preserve">3. </w:t>
      </w:r>
      <w:r w:rsidRPr="00222E5C">
        <w:rPr>
          <w:b/>
          <w:bCs/>
          <w:color w:val="000000"/>
        </w:rPr>
        <w:t>Faculty Analysis</w:t>
      </w:r>
      <w:r w:rsidRPr="00EB3A1B">
        <w:rPr>
          <w:color w:val="000000"/>
        </w:rPr>
        <w:t xml:space="preserve"> </w:t>
      </w:r>
    </w:p>
    <w:p w14:paraId="563539DD" w14:textId="77777777" w:rsidR="006830BB" w:rsidRDefault="006830BB" w:rsidP="00EB3A1B">
      <w:pPr>
        <w:pStyle w:val="NormalWeb"/>
        <w:rPr>
          <w:color w:val="000000"/>
        </w:rPr>
        <w:sectPr w:rsidR="006830BB" w:rsidSect="00EB3A1B">
          <w:headerReference w:type="default" r:id="rId7"/>
          <w:footerReference w:type="default" r:id="rId8"/>
          <w:pgSz w:w="15840" w:h="12240" w:orient="landscape"/>
          <w:pgMar w:top="1440" w:right="1440" w:bottom="1440" w:left="1440" w:header="720" w:footer="720" w:gutter="0"/>
          <w:cols w:space="720"/>
          <w:docGrid w:linePitch="360"/>
        </w:sectPr>
      </w:pPr>
    </w:p>
    <w:p w14:paraId="6491ED30" w14:textId="77777777" w:rsidR="00F161F8" w:rsidRPr="00EB3A1B" w:rsidRDefault="00F161F8" w:rsidP="00EB3A1B">
      <w:pPr>
        <w:pStyle w:val="NormalWeb"/>
        <w:rPr>
          <w:color w:val="000000"/>
        </w:rPr>
      </w:pPr>
    </w:p>
    <w:tbl>
      <w:tblPr>
        <w:tblStyle w:val="TableGrid"/>
        <w:tblpPr w:leftFromText="180" w:rightFromText="180" w:vertAnchor="text" w:horzAnchor="page" w:tblpX="7176" w:tblpY="483"/>
        <w:tblW w:w="6310" w:type="dxa"/>
        <w:tblLook w:val="04A0" w:firstRow="1" w:lastRow="0" w:firstColumn="1" w:lastColumn="0" w:noHBand="0" w:noVBand="1"/>
      </w:tblPr>
      <w:tblGrid>
        <w:gridCol w:w="4145"/>
        <w:gridCol w:w="995"/>
        <w:gridCol w:w="1170"/>
      </w:tblGrid>
      <w:tr w:rsidR="00B665A7" w14:paraId="1DB20538" w14:textId="77777777" w:rsidTr="006830BB">
        <w:tc>
          <w:tcPr>
            <w:tcW w:w="4145" w:type="dxa"/>
          </w:tcPr>
          <w:p w14:paraId="39DD7234" w14:textId="77777777" w:rsidR="00B665A7" w:rsidRPr="003D24B8" w:rsidRDefault="00B665A7" w:rsidP="006830BB">
            <w:pPr>
              <w:rPr>
                <w:b/>
                <w:bCs/>
              </w:rPr>
            </w:pPr>
            <w:r w:rsidRPr="003D24B8">
              <w:rPr>
                <w:b/>
                <w:bCs/>
              </w:rPr>
              <w:lastRenderedPageBreak/>
              <w:t>Certification Area</w:t>
            </w:r>
            <w:r>
              <w:rPr>
                <w:b/>
                <w:bCs/>
              </w:rPr>
              <w:t xml:space="preserve">  </w:t>
            </w:r>
          </w:p>
        </w:tc>
        <w:tc>
          <w:tcPr>
            <w:tcW w:w="995" w:type="dxa"/>
          </w:tcPr>
          <w:p w14:paraId="7F72F5B3" w14:textId="41772A5E" w:rsidR="00B665A7" w:rsidRPr="003D24B8" w:rsidRDefault="00B665A7" w:rsidP="006830BB">
            <w:pPr>
              <w:rPr>
                <w:b/>
                <w:bCs/>
              </w:rPr>
            </w:pPr>
            <w:r w:rsidRPr="003D24B8">
              <w:rPr>
                <w:b/>
                <w:bCs/>
              </w:rPr>
              <w:t>Count</w:t>
            </w:r>
            <w:r>
              <w:rPr>
                <w:b/>
                <w:bCs/>
              </w:rPr>
              <w:t xml:space="preserve"> N=3</w:t>
            </w:r>
            <w:r w:rsidR="007E1D41">
              <w:rPr>
                <w:b/>
                <w:bCs/>
              </w:rPr>
              <w:t>4</w:t>
            </w:r>
          </w:p>
        </w:tc>
        <w:tc>
          <w:tcPr>
            <w:tcW w:w="1170" w:type="dxa"/>
          </w:tcPr>
          <w:p w14:paraId="7848D8CC" w14:textId="77777777" w:rsidR="00B665A7" w:rsidRPr="003D24B8" w:rsidRDefault="00B665A7" w:rsidP="006830BB">
            <w:pPr>
              <w:rPr>
                <w:b/>
                <w:bCs/>
              </w:rPr>
            </w:pPr>
            <w:r>
              <w:rPr>
                <w:b/>
                <w:bCs/>
              </w:rPr>
              <w:t>Percent</w:t>
            </w:r>
          </w:p>
        </w:tc>
      </w:tr>
      <w:tr w:rsidR="00B665A7" w14:paraId="3368051F" w14:textId="77777777" w:rsidTr="006830BB">
        <w:tc>
          <w:tcPr>
            <w:tcW w:w="4145" w:type="dxa"/>
          </w:tcPr>
          <w:p w14:paraId="517EF99A" w14:textId="77777777" w:rsidR="00B665A7" w:rsidRDefault="00B665A7" w:rsidP="006830BB">
            <w:r>
              <w:t>Early Childhood</w:t>
            </w:r>
          </w:p>
        </w:tc>
        <w:tc>
          <w:tcPr>
            <w:tcW w:w="995" w:type="dxa"/>
          </w:tcPr>
          <w:p w14:paraId="0F3A74FF" w14:textId="17029CB4" w:rsidR="00B665A7" w:rsidRDefault="007E1D41" w:rsidP="006830BB">
            <w:r>
              <w:t>3</w:t>
            </w:r>
          </w:p>
        </w:tc>
        <w:tc>
          <w:tcPr>
            <w:tcW w:w="1170" w:type="dxa"/>
          </w:tcPr>
          <w:p w14:paraId="50A70B44" w14:textId="262C43B8" w:rsidR="00B665A7" w:rsidRDefault="007E1D41" w:rsidP="006830BB">
            <w:r>
              <w:t>10%</w:t>
            </w:r>
          </w:p>
        </w:tc>
      </w:tr>
      <w:tr w:rsidR="00B665A7" w14:paraId="6BE9637B" w14:textId="77777777" w:rsidTr="006830BB">
        <w:tc>
          <w:tcPr>
            <w:tcW w:w="4145" w:type="dxa"/>
          </w:tcPr>
          <w:p w14:paraId="389952CD" w14:textId="77777777" w:rsidR="00B665A7" w:rsidRDefault="00B665A7" w:rsidP="006830BB">
            <w:r>
              <w:t>Early Childhood Special Education</w:t>
            </w:r>
          </w:p>
        </w:tc>
        <w:tc>
          <w:tcPr>
            <w:tcW w:w="995" w:type="dxa"/>
          </w:tcPr>
          <w:p w14:paraId="6D0A4276" w14:textId="2ABF804F" w:rsidR="00B665A7" w:rsidRDefault="007E1D41" w:rsidP="006830BB">
            <w:r>
              <w:t>1</w:t>
            </w:r>
          </w:p>
        </w:tc>
        <w:tc>
          <w:tcPr>
            <w:tcW w:w="1170" w:type="dxa"/>
          </w:tcPr>
          <w:p w14:paraId="3DA4875A" w14:textId="09FBEA86" w:rsidR="00B665A7" w:rsidRDefault="007E1D41" w:rsidP="006830BB">
            <w:r>
              <w:t>3%</w:t>
            </w:r>
          </w:p>
        </w:tc>
      </w:tr>
      <w:tr w:rsidR="00B665A7" w14:paraId="1A13CE04" w14:textId="77777777" w:rsidTr="006830BB">
        <w:tc>
          <w:tcPr>
            <w:tcW w:w="4145" w:type="dxa"/>
          </w:tcPr>
          <w:p w14:paraId="739A5313" w14:textId="77777777" w:rsidR="00B665A7" w:rsidRDefault="00B665A7" w:rsidP="006830BB">
            <w:r>
              <w:t>Elementary</w:t>
            </w:r>
          </w:p>
        </w:tc>
        <w:tc>
          <w:tcPr>
            <w:tcW w:w="995" w:type="dxa"/>
          </w:tcPr>
          <w:p w14:paraId="0272079A" w14:textId="348DB39E" w:rsidR="00B665A7" w:rsidRDefault="007E1D41" w:rsidP="006830BB">
            <w:r>
              <w:t>13</w:t>
            </w:r>
          </w:p>
        </w:tc>
        <w:tc>
          <w:tcPr>
            <w:tcW w:w="1170" w:type="dxa"/>
          </w:tcPr>
          <w:p w14:paraId="6B9A509F" w14:textId="68CF83D6" w:rsidR="00B665A7" w:rsidRDefault="007E1D41" w:rsidP="006830BB">
            <w:r>
              <w:t>42%</w:t>
            </w:r>
          </w:p>
        </w:tc>
      </w:tr>
      <w:tr w:rsidR="006830BB" w14:paraId="58889B86" w14:textId="77777777" w:rsidTr="006830BB">
        <w:tc>
          <w:tcPr>
            <w:tcW w:w="4145" w:type="dxa"/>
          </w:tcPr>
          <w:p w14:paraId="7EDC378C" w14:textId="56C46024" w:rsidR="006830BB" w:rsidRDefault="006830BB" w:rsidP="006830BB">
            <w:r>
              <w:t>Middle School Business 5-9</w:t>
            </w:r>
          </w:p>
        </w:tc>
        <w:tc>
          <w:tcPr>
            <w:tcW w:w="995" w:type="dxa"/>
          </w:tcPr>
          <w:p w14:paraId="614BF5E9" w14:textId="46A933E6" w:rsidR="006830BB" w:rsidRDefault="006830BB" w:rsidP="006830BB">
            <w:r>
              <w:t>0</w:t>
            </w:r>
          </w:p>
        </w:tc>
        <w:tc>
          <w:tcPr>
            <w:tcW w:w="1170" w:type="dxa"/>
          </w:tcPr>
          <w:p w14:paraId="3A25D5D2" w14:textId="71CA23C5" w:rsidR="006830BB" w:rsidRDefault="006830BB" w:rsidP="006830BB">
            <w:r>
              <w:t>0%</w:t>
            </w:r>
          </w:p>
        </w:tc>
      </w:tr>
      <w:tr w:rsidR="00B665A7" w14:paraId="6F63CBAF" w14:textId="77777777" w:rsidTr="006830BB">
        <w:tc>
          <w:tcPr>
            <w:tcW w:w="4145" w:type="dxa"/>
          </w:tcPr>
          <w:p w14:paraId="04D32960" w14:textId="77777777" w:rsidR="00B665A7" w:rsidRDefault="00B665A7" w:rsidP="006830BB">
            <w:r>
              <w:t>Middle School Language Arts 5-9</w:t>
            </w:r>
          </w:p>
        </w:tc>
        <w:tc>
          <w:tcPr>
            <w:tcW w:w="995" w:type="dxa"/>
          </w:tcPr>
          <w:p w14:paraId="33E70B03" w14:textId="72CB26F6" w:rsidR="00B665A7" w:rsidRDefault="006830BB" w:rsidP="006830BB">
            <w:r>
              <w:t>0</w:t>
            </w:r>
          </w:p>
        </w:tc>
        <w:tc>
          <w:tcPr>
            <w:tcW w:w="1170" w:type="dxa"/>
          </w:tcPr>
          <w:p w14:paraId="419E4257" w14:textId="59355671" w:rsidR="00B665A7" w:rsidRDefault="006830BB" w:rsidP="006830BB">
            <w:r>
              <w:t>0%</w:t>
            </w:r>
          </w:p>
        </w:tc>
      </w:tr>
      <w:tr w:rsidR="00B665A7" w14:paraId="2193FE36" w14:textId="77777777" w:rsidTr="006830BB">
        <w:tc>
          <w:tcPr>
            <w:tcW w:w="4145" w:type="dxa"/>
          </w:tcPr>
          <w:p w14:paraId="6289EEBC" w14:textId="77777777" w:rsidR="00B665A7" w:rsidRDefault="00B665A7" w:rsidP="006830BB">
            <w:r>
              <w:t>Middle School Science 5-9</w:t>
            </w:r>
          </w:p>
        </w:tc>
        <w:tc>
          <w:tcPr>
            <w:tcW w:w="995" w:type="dxa"/>
          </w:tcPr>
          <w:p w14:paraId="60988D5E" w14:textId="6E420863" w:rsidR="00B665A7" w:rsidRDefault="006830BB" w:rsidP="006830BB">
            <w:r>
              <w:t>0</w:t>
            </w:r>
          </w:p>
        </w:tc>
        <w:tc>
          <w:tcPr>
            <w:tcW w:w="1170" w:type="dxa"/>
          </w:tcPr>
          <w:p w14:paraId="57743EA4" w14:textId="5C5E8FDA" w:rsidR="00B665A7" w:rsidRDefault="006830BB" w:rsidP="006830BB">
            <w:r>
              <w:t>0%</w:t>
            </w:r>
          </w:p>
        </w:tc>
      </w:tr>
      <w:tr w:rsidR="00B665A7" w14:paraId="76673B30" w14:textId="77777777" w:rsidTr="006830BB">
        <w:tc>
          <w:tcPr>
            <w:tcW w:w="4145" w:type="dxa"/>
          </w:tcPr>
          <w:p w14:paraId="458C0EEC" w14:textId="77777777" w:rsidR="00B665A7" w:rsidRDefault="00B665A7" w:rsidP="006830BB">
            <w:r>
              <w:t>Middle School Mathematics 5-9</w:t>
            </w:r>
          </w:p>
        </w:tc>
        <w:tc>
          <w:tcPr>
            <w:tcW w:w="995" w:type="dxa"/>
          </w:tcPr>
          <w:p w14:paraId="29253B25" w14:textId="651803CF" w:rsidR="00B665A7" w:rsidRDefault="007E1D41" w:rsidP="006830BB">
            <w:r>
              <w:t>1</w:t>
            </w:r>
          </w:p>
        </w:tc>
        <w:tc>
          <w:tcPr>
            <w:tcW w:w="1170" w:type="dxa"/>
          </w:tcPr>
          <w:p w14:paraId="145AB1E4" w14:textId="4EF3412C" w:rsidR="00B665A7" w:rsidRDefault="007E1D41" w:rsidP="006830BB">
            <w:r>
              <w:t>3%</w:t>
            </w:r>
          </w:p>
        </w:tc>
      </w:tr>
      <w:tr w:rsidR="00B665A7" w14:paraId="077D1943" w14:textId="77777777" w:rsidTr="006830BB">
        <w:trPr>
          <w:trHeight w:val="70"/>
        </w:trPr>
        <w:tc>
          <w:tcPr>
            <w:tcW w:w="4145" w:type="dxa"/>
          </w:tcPr>
          <w:p w14:paraId="71568597" w14:textId="77777777" w:rsidR="00B665A7" w:rsidRDefault="00B665A7" w:rsidP="006830BB">
            <w:r>
              <w:t>Middle School Social Studies 5-9</w:t>
            </w:r>
          </w:p>
        </w:tc>
        <w:tc>
          <w:tcPr>
            <w:tcW w:w="995" w:type="dxa"/>
          </w:tcPr>
          <w:p w14:paraId="1F4FD417" w14:textId="6556F955" w:rsidR="00B665A7" w:rsidRDefault="007E1D41" w:rsidP="006830BB">
            <w:r>
              <w:t>2</w:t>
            </w:r>
          </w:p>
        </w:tc>
        <w:tc>
          <w:tcPr>
            <w:tcW w:w="1170" w:type="dxa"/>
          </w:tcPr>
          <w:p w14:paraId="54882EED" w14:textId="52514FEA" w:rsidR="00B665A7" w:rsidRDefault="007E1D41" w:rsidP="006830BB">
            <w:r>
              <w:t>6%</w:t>
            </w:r>
          </w:p>
        </w:tc>
      </w:tr>
      <w:tr w:rsidR="00B665A7" w14:paraId="5D12E0D5" w14:textId="77777777" w:rsidTr="006830BB">
        <w:tc>
          <w:tcPr>
            <w:tcW w:w="4145" w:type="dxa"/>
          </w:tcPr>
          <w:p w14:paraId="653EC6AD" w14:textId="77777777" w:rsidR="00B665A7" w:rsidRDefault="00B665A7" w:rsidP="006830BB">
            <w:r>
              <w:t>Biology 9-12</w:t>
            </w:r>
          </w:p>
        </w:tc>
        <w:tc>
          <w:tcPr>
            <w:tcW w:w="995" w:type="dxa"/>
          </w:tcPr>
          <w:p w14:paraId="3458C28D" w14:textId="41EC9425" w:rsidR="00B665A7" w:rsidRDefault="007E1D41" w:rsidP="006830BB">
            <w:r>
              <w:t>1</w:t>
            </w:r>
          </w:p>
        </w:tc>
        <w:tc>
          <w:tcPr>
            <w:tcW w:w="1170" w:type="dxa"/>
          </w:tcPr>
          <w:p w14:paraId="4C2C5DAF" w14:textId="33363719" w:rsidR="00B665A7" w:rsidRDefault="007E1D41" w:rsidP="006830BB">
            <w:r>
              <w:t>3%</w:t>
            </w:r>
          </w:p>
        </w:tc>
      </w:tr>
      <w:tr w:rsidR="006830BB" w14:paraId="519F2583" w14:textId="77777777" w:rsidTr="006830BB">
        <w:tc>
          <w:tcPr>
            <w:tcW w:w="4145" w:type="dxa"/>
          </w:tcPr>
          <w:p w14:paraId="087FF68B" w14:textId="60BC3FB2" w:rsidR="006830BB" w:rsidRDefault="006830BB" w:rsidP="006830BB">
            <w:r>
              <w:t>Chemistry 9-12</w:t>
            </w:r>
          </w:p>
        </w:tc>
        <w:tc>
          <w:tcPr>
            <w:tcW w:w="995" w:type="dxa"/>
          </w:tcPr>
          <w:p w14:paraId="3021F9C1" w14:textId="30E46934" w:rsidR="006830BB" w:rsidRDefault="006830BB" w:rsidP="006830BB">
            <w:r>
              <w:t>0</w:t>
            </w:r>
          </w:p>
        </w:tc>
        <w:tc>
          <w:tcPr>
            <w:tcW w:w="1170" w:type="dxa"/>
          </w:tcPr>
          <w:p w14:paraId="227730FD" w14:textId="5E34F898" w:rsidR="006830BB" w:rsidRDefault="006830BB" w:rsidP="006830BB">
            <w:r>
              <w:t>0%</w:t>
            </w:r>
          </w:p>
        </w:tc>
      </w:tr>
      <w:tr w:rsidR="006830BB" w14:paraId="198F712D" w14:textId="77777777" w:rsidTr="006830BB">
        <w:tc>
          <w:tcPr>
            <w:tcW w:w="4145" w:type="dxa"/>
          </w:tcPr>
          <w:p w14:paraId="6D3B323E" w14:textId="75CA447A" w:rsidR="006830BB" w:rsidRDefault="006830BB" w:rsidP="006830BB">
            <w:r>
              <w:t>Business 9-12</w:t>
            </w:r>
          </w:p>
        </w:tc>
        <w:tc>
          <w:tcPr>
            <w:tcW w:w="995" w:type="dxa"/>
          </w:tcPr>
          <w:p w14:paraId="13036837" w14:textId="6BB1FA59" w:rsidR="006830BB" w:rsidRDefault="006830BB" w:rsidP="006830BB">
            <w:r>
              <w:t>0</w:t>
            </w:r>
          </w:p>
        </w:tc>
        <w:tc>
          <w:tcPr>
            <w:tcW w:w="1170" w:type="dxa"/>
          </w:tcPr>
          <w:p w14:paraId="04C1CAD8" w14:textId="54088112" w:rsidR="006830BB" w:rsidRDefault="006830BB" w:rsidP="006830BB">
            <w:r>
              <w:t>0%</w:t>
            </w:r>
          </w:p>
        </w:tc>
      </w:tr>
      <w:tr w:rsidR="00B665A7" w14:paraId="6CBA8A01" w14:textId="77777777" w:rsidTr="006830BB">
        <w:tc>
          <w:tcPr>
            <w:tcW w:w="4145" w:type="dxa"/>
          </w:tcPr>
          <w:p w14:paraId="3848388D" w14:textId="77777777" w:rsidR="00B665A7" w:rsidRDefault="00B665A7" w:rsidP="006830BB">
            <w:r>
              <w:t>English 9-12</w:t>
            </w:r>
          </w:p>
        </w:tc>
        <w:tc>
          <w:tcPr>
            <w:tcW w:w="995" w:type="dxa"/>
          </w:tcPr>
          <w:p w14:paraId="45AE45A6" w14:textId="78C56FD1" w:rsidR="00B665A7" w:rsidRDefault="007E1D41" w:rsidP="006830BB">
            <w:r>
              <w:t>1</w:t>
            </w:r>
          </w:p>
        </w:tc>
        <w:tc>
          <w:tcPr>
            <w:tcW w:w="1170" w:type="dxa"/>
          </w:tcPr>
          <w:p w14:paraId="49B2D5A2" w14:textId="719CFF5B" w:rsidR="00B665A7" w:rsidRDefault="007E1D41" w:rsidP="006830BB">
            <w:r>
              <w:t>3%</w:t>
            </w:r>
          </w:p>
        </w:tc>
      </w:tr>
      <w:tr w:rsidR="006830BB" w14:paraId="72214093" w14:textId="77777777" w:rsidTr="006830BB">
        <w:tc>
          <w:tcPr>
            <w:tcW w:w="4145" w:type="dxa"/>
          </w:tcPr>
          <w:p w14:paraId="6D132A08" w14:textId="0ABDF816" w:rsidR="006830BB" w:rsidRDefault="006830BB" w:rsidP="006830BB">
            <w:r>
              <w:t>Mathematics 9-12</w:t>
            </w:r>
          </w:p>
        </w:tc>
        <w:tc>
          <w:tcPr>
            <w:tcW w:w="995" w:type="dxa"/>
          </w:tcPr>
          <w:p w14:paraId="13406AD9" w14:textId="34E326E7" w:rsidR="006830BB" w:rsidRDefault="006830BB" w:rsidP="006830BB">
            <w:r>
              <w:t>0</w:t>
            </w:r>
          </w:p>
        </w:tc>
        <w:tc>
          <w:tcPr>
            <w:tcW w:w="1170" w:type="dxa"/>
          </w:tcPr>
          <w:p w14:paraId="294FB6B7" w14:textId="1BA6C792" w:rsidR="006830BB" w:rsidRDefault="006830BB" w:rsidP="006830BB">
            <w:r>
              <w:t>0%</w:t>
            </w:r>
          </w:p>
        </w:tc>
      </w:tr>
      <w:tr w:rsidR="00B665A7" w14:paraId="636A330D" w14:textId="77777777" w:rsidTr="006830BB">
        <w:tc>
          <w:tcPr>
            <w:tcW w:w="4145" w:type="dxa"/>
          </w:tcPr>
          <w:p w14:paraId="4B4D469E" w14:textId="77777777" w:rsidR="00B665A7" w:rsidRDefault="00B665A7" w:rsidP="006830BB">
            <w:r>
              <w:t>Social Studies 9-12</w:t>
            </w:r>
          </w:p>
        </w:tc>
        <w:tc>
          <w:tcPr>
            <w:tcW w:w="995" w:type="dxa"/>
          </w:tcPr>
          <w:p w14:paraId="6E9AF7C8" w14:textId="2EFD3A80" w:rsidR="00B665A7" w:rsidRDefault="007E1D41" w:rsidP="006830BB">
            <w:r>
              <w:t>3</w:t>
            </w:r>
          </w:p>
        </w:tc>
        <w:tc>
          <w:tcPr>
            <w:tcW w:w="1170" w:type="dxa"/>
          </w:tcPr>
          <w:p w14:paraId="4A20B26F" w14:textId="03FC96DC" w:rsidR="00B665A7" w:rsidRDefault="007E1D41" w:rsidP="006830BB">
            <w:r>
              <w:t>10%</w:t>
            </w:r>
          </w:p>
        </w:tc>
      </w:tr>
      <w:tr w:rsidR="00B665A7" w14:paraId="3DABF053" w14:textId="77777777" w:rsidTr="006830BB">
        <w:tc>
          <w:tcPr>
            <w:tcW w:w="4145" w:type="dxa"/>
          </w:tcPr>
          <w:p w14:paraId="7C3554AF" w14:textId="77777777" w:rsidR="00B665A7" w:rsidRDefault="00B665A7" w:rsidP="006830BB">
            <w:r>
              <w:t>Art K-12</w:t>
            </w:r>
          </w:p>
        </w:tc>
        <w:tc>
          <w:tcPr>
            <w:tcW w:w="995" w:type="dxa"/>
          </w:tcPr>
          <w:p w14:paraId="24FEAB0C" w14:textId="0C342BE0" w:rsidR="00B665A7" w:rsidRDefault="007E1D41" w:rsidP="006830BB">
            <w:r>
              <w:t>1</w:t>
            </w:r>
          </w:p>
        </w:tc>
        <w:tc>
          <w:tcPr>
            <w:tcW w:w="1170" w:type="dxa"/>
          </w:tcPr>
          <w:p w14:paraId="58F4AD5F" w14:textId="0587025B" w:rsidR="00B665A7" w:rsidRDefault="007E1D41" w:rsidP="006830BB">
            <w:r>
              <w:t>3%</w:t>
            </w:r>
          </w:p>
        </w:tc>
      </w:tr>
      <w:tr w:rsidR="00B665A7" w14:paraId="056ADCFA" w14:textId="77777777" w:rsidTr="006830BB">
        <w:tc>
          <w:tcPr>
            <w:tcW w:w="4145" w:type="dxa"/>
          </w:tcPr>
          <w:p w14:paraId="082F7FB1" w14:textId="77777777" w:rsidR="00B665A7" w:rsidRDefault="00B665A7" w:rsidP="006830BB">
            <w:r>
              <w:t>Music: Vocal K-12</w:t>
            </w:r>
          </w:p>
        </w:tc>
        <w:tc>
          <w:tcPr>
            <w:tcW w:w="995" w:type="dxa"/>
          </w:tcPr>
          <w:p w14:paraId="21424D1E" w14:textId="6842FAB6" w:rsidR="00B665A7" w:rsidRDefault="006830BB" w:rsidP="006830BB">
            <w:r>
              <w:t>0</w:t>
            </w:r>
          </w:p>
        </w:tc>
        <w:tc>
          <w:tcPr>
            <w:tcW w:w="1170" w:type="dxa"/>
          </w:tcPr>
          <w:p w14:paraId="07954AFF" w14:textId="46AEA5D3" w:rsidR="00B665A7" w:rsidRDefault="006830BB" w:rsidP="006830BB">
            <w:r>
              <w:t>0%</w:t>
            </w:r>
          </w:p>
        </w:tc>
      </w:tr>
      <w:tr w:rsidR="00B665A7" w14:paraId="2227A724" w14:textId="77777777" w:rsidTr="006830BB">
        <w:tc>
          <w:tcPr>
            <w:tcW w:w="4145" w:type="dxa"/>
          </w:tcPr>
          <w:p w14:paraId="6FAC091B" w14:textId="77777777" w:rsidR="00B665A7" w:rsidRDefault="00B665A7" w:rsidP="006830BB">
            <w:r>
              <w:t>Music: Instrumental K-12</w:t>
            </w:r>
          </w:p>
        </w:tc>
        <w:tc>
          <w:tcPr>
            <w:tcW w:w="995" w:type="dxa"/>
          </w:tcPr>
          <w:p w14:paraId="35E64A0B" w14:textId="6638B84D" w:rsidR="00B665A7" w:rsidRDefault="007E1D41" w:rsidP="006830BB">
            <w:r>
              <w:t>2</w:t>
            </w:r>
          </w:p>
        </w:tc>
        <w:tc>
          <w:tcPr>
            <w:tcW w:w="1170" w:type="dxa"/>
          </w:tcPr>
          <w:p w14:paraId="5EB35DF0" w14:textId="00367CE8" w:rsidR="00B665A7" w:rsidRDefault="007E1D41" w:rsidP="006830BB">
            <w:r>
              <w:t>6%</w:t>
            </w:r>
          </w:p>
        </w:tc>
      </w:tr>
      <w:tr w:rsidR="00B665A7" w14:paraId="65F518FC" w14:textId="77777777" w:rsidTr="006830BB">
        <w:tc>
          <w:tcPr>
            <w:tcW w:w="4145" w:type="dxa"/>
          </w:tcPr>
          <w:p w14:paraId="6643D995" w14:textId="77777777" w:rsidR="00B665A7" w:rsidRDefault="00B665A7" w:rsidP="006830BB">
            <w:r>
              <w:t>Physical Education K-12</w:t>
            </w:r>
          </w:p>
        </w:tc>
        <w:tc>
          <w:tcPr>
            <w:tcW w:w="995" w:type="dxa"/>
          </w:tcPr>
          <w:p w14:paraId="53FF0A3C" w14:textId="44FCCAF3" w:rsidR="00B665A7" w:rsidRDefault="007E1D41" w:rsidP="006830BB">
            <w:r>
              <w:t>3</w:t>
            </w:r>
          </w:p>
        </w:tc>
        <w:tc>
          <w:tcPr>
            <w:tcW w:w="1170" w:type="dxa"/>
          </w:tcPr>
          <w:p w14:paraId="7A388938" w14:textId="26951026" w:rsidR="00B665A7" w:rsidRDefault="007E1D41" w:rsidP="006830BB">
            <w:r>
              <w:t>10%</w:t>
            </w:r>
          </w:p>
        </w:tc>
      </w:tr>
    </w:tbl>
    <w:p w14:paraId="0800EC3C" w14:textId="507C3C89" w:rsidR="00222E5C" w:rsidRDefault="00222E5C">
      <w:pPr>
        <w:rPr>
          <w:rFonts w:ascii="Times New Roman" w:hAnsi="Times New Roman" w:cs="Times New Roman"/>
          <w:b/>
          <w:bCs/>
          <w:sz w:val="28"/>
          <w:szCs w:val="28"/>
          <w:u w:val="single"/>
        </w:rPr>
      </w:pPr>
      <w:r w:rsidRPr="00C808F2">
        <w:rPr>
          <w:rFonts w:ascii="Times New Roman" w:hAnsi="Times New Roman" w:cs="Times New Roman"/>
          <w:b/>
          <w:bCs/>
          <w:sz w:val="28"/>
          <w:szCs w:val="28"/>
          <w:u w:val="single"/>
        </w:rPr>
        <w:t>Alumni Survey</w:t>
      </w:r>
    </w:p>
    <w:p w14:paraId="42EEF732" w14:textId="525B52DE" w:rsidR="00B665A7" w:rsidRPr="00F161F8" w:rsidRDefault="00EA3855" w:rsidP="00B665A7">
      <w:pPr>
        <w:pStyle w:val="NormalWeb"/>
        <w:rPr>
          <w:b/>
          <w:bCs/>
          <w:color w:val="000000"/>
        </w:rPr>
      </w:pPr>
      <w:r w:rsidRPr="00F161F8">
        <w:rPr>
          <w:b/>
          <w:bCs/>
          <w:color w:val="000000"/>
        </w:rPr>
        <w:t>Characteristics of Responding Teachers</w:t>
      </w:r>
      <w:r w:rsidR="001C32B9" w:rsidRPr="00F161F8">
        <w:rPr>
          <w:b/>
          <w:bCs/>
          <w:color w:val="000000"/>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1870"/>
        <w:gridCol w:w="1275"/>
        <w:gridCol w:w="1080"/>
      </w:tblGrid>
      <w:tr w:rsidR="00170CF0" w14:paraId="3C4D9CBB" w14:textId="72AE54E9" w:rsidTr="00170CF0">
        <w:tc>
          <w:tcPr>
            <w:tcW w:w="1870" w:type="dxa"/>
          </w:tcPr>
          <w:p w14:paraId="2950C7F6" w14:textId="77777777" w:rsidR="00170CF0" w:rsidRPr="00B21365" w:rsidRDefault="00170CF0" w:rsidP="00170CF0">
            <w:pPr>
              <w:rPr>
                <w:b/>
                <w:bCs/>
              </w:rPr>
            </w:pPr>
            <w:r w:rsidRPr="00B21365">
              <w:rPr>
                <w:b/>
                <w:bCs/>
              </w:rPr>
              <w:t>Ethnicity</w:t>
            </w:r>
          </w:p>
        </w:tc>
        <w:tc>
          <w:tcPr>
            <w:tcW w:w="1275" w:type="dxa"/>
          </w:tcPr>
          <w:p w14:paraId="67AB93AF" w14:textId="78E21BEC" w:rsidR="00170CF0" w:rsidRPr="00B21365" w:rsidRDefault="00170CF0" w:rsidP="00170CF0">
            <w:pPr>
              <w:rPr>
                <w:b/>
                <w:bCs/>
              </w:rPr>
            </w:pPr>
            <w:r w:rsidRPr="00B21365">
              <w:rPr>
                <w:b/>
                <w:bCs/>
              </w:rPr>
              <w:t>Count</w:t>
            </w:r>
            <w:r>
              <w:rPr>
                <w:b/>
                <w:bCs/>
              </w:rPr>
              <w:t xml:space="preserve"> N</w:t>
            </w:r>
            <w:r w:rsidR="00B665A7">
              <w:rPr>
                <w:b/>
                <w:bCs/>
              </w:rPr>
              <w:t>=</w:t>
            </w:r>
            <w:r w:rsidR="007E1D41">
              <w:rPr>
                <w:b/>
                <w:bCs/>
              </w:rPr>
              <w:t>34</w:t>
            </w:r>
          </w:p>
        </w:tc>
        <w:tc>
          <w:tcPr>
            <w:tcW w:w="1080" w:type="dxa"/>
          </w:tcPr>
          <w:p w14:paraId="24FC61F6" w14:textId="1FE3328A" w:rsidR="00170CF0" w:rsidRPr="00170CF0" w:rsidRDefault="00170CF0" w:rsidP="00170CF0">
            <w:pPr>
              <w:rPr>
                <w:b/>
                <w:bCs/>
              </w:rPr>
            </w:pPr>
            <w:r w:rsidRPr="00170CF0">
              <w:rPr>
                <w:b/>
                <w:bCs/>
              </w:rPr>
              <w:t>Percent</w:t>
            </w:r>
          </w:p>
        </w:tc>
      </w:tr>
      <w:tr w:rsidR="00170CF0" w14:paraId="55D7343C" w14:textId="059074DC" w:rsidTr="00170CF0">
        <w:tc>
          <w:tcPr>
            <w:tcW w:w="1870" w:type="dxa"/>
          </w:tcPr>
          <w:p w14:paraId="08828AF4" w14:textId="77777777" w:rsidR="00170CF0" w:rsidRDefault="00170CF0" w:rsidP="00170CF0">
            <w:r>
              <w:t>Black or African American</w:t>
            </w:r>
          </w:p>
        </w:tc>
        <w:tc>
          <w:tcPr>
            <w:tcW w:w="1275" w:type="dxa"/>
          </w:tcPr>
          <w:p w14:paraId="4F38EC89" w14:textId="42D6834E" w:rsidR="00170CF0" w:rsidRDefault="007E1D41" w:rsidP="00170CF0">
            <w:r>
              <w:t>1</w:t>
            </w:r>
          </w:p>
        </w:tc>
        <w:tc>
          <w:tcPr>
            <w:tcW w:w="1080" w:type="dxa"/>
          </w:tcPr>
          <w:p w14:paraId="11DFC519" w14:textId="04520566" w:rsidR="00170CF0" w:rsidRDefault="007E1D41" w:rsidP="00170CF0">
            <w:r>
              <w:t>3</w:t>
            </w:r>
            <w:r w:rsidR="00170CF0" w:rsidRPr="00181B04">
              <w:t>%</w:t>
            </w:r>
          </w:p>
        </w:tc>
      </w:tr>
      <w:tr w:rsidR="00170CF0" w14:paraId="351B507F" w14:textId="3D28E4AD" w:rsidTr="00170CF0">
        <w:tc>
          <w:tcPr>
            <w:tcW w:w="1870" w:type="dxa"/>
          </w:tcPr>
          <w:p w14:paraId="3BFBD44A" w14:textId="77777777" w:rsidR="00170CF0" w:rsidRDefault="00170CF0" w:rsidP="00170CF0">
            <w:r>
              <w:t>Hispanic or Latino</w:t>
            </w:r>
          </w:p>
        </w:tc>
        <w:tc>
          <w:tcPr>
            <w:tcW w:w="1275" w:type="dxa"/>
          </w:tcPr>
          <w:p w14:paraId="2E1D4CE2" w14:textId="50E085DF" w:rsidR="00170CF0" w:rsidRDefault="006830BB" w:rsidP="00170CF0">
            <w:r>
              <w:t>0</w:t>
            </w:r>
          </w:p>
        </w:tc>
        <w:tc>
          <w:tcPr>
            <w:tcW w:w="1080" w:type="dxa"/>
          </w:tcPr>
          <w:p w14:paraId="64D98DCC" w14:textId="588A66FA" w:rsidR="00170CF0" w:rsidRDefault="006830BB" w:rsidP="00170CF0">
            <w:r>
              <w:t>0%</w:t>
            </w:r>
          </w:p>
        </w:tc>
      </w:tr>
      <w:tr w:rsidR="00170CF0" w14:paraId="5825FA59" w14:textId="5710DE29" w:rsidTr="00170CF0">
        <w:tc>
          <w:tcPr>
            <w:tcW w:w="1870" w:type="dxa"/>
          </w:tcPr>
          <w:p w14:paraId="73EBDC2B" w14:textId="77777777" w:rsidR="00170CF0" w:rsidRDefault="00170CF0" w:rsidP="00170CF0">
            <w:r>
              <w:t>White</w:t>
            </w:r>
          </w:p>
        </w:tc>
        <w:tc>
          <w:tcPr>
            <w:tcW w:w="1275" w:type="dxa"/>
          </w:tcPr>
          <w:p w14:paraId="1D36BE0F" w14:textId="498583AC" w:rsidR="00170CF0" w:rsidRDefault="00170CF0" w:rsidP="00170CF0">
            <w:r>
              <w:t>3</w:t>
            </w:r>
            <w:r w:rsidR="007E1D41">
              <w:t>2</w:t>
            </w:r>
          </w:p>
        </w:tc>
        <w:tc>
          <w:tcPr>
            <w:tcW w:w="1080" w:type="dxa"/>
          </w:tcPr>
          <w:p w14:paraId="3D27B4EB" w14:textId="3B3218D5" w:rsidR="00170CF0" w:rsidRDefault="007E1D41" w:rsidP="00170CF0">
            <w:r>
              <w:t>94</w:t>
            </w:r>
            <w:r w:rsidR="00170CF0" w:rsidRPr="00181B04">
              <w:t>%</w:t>
            </w:r>
          </w:p>
        </w:tc>
      </w:tr>
      <w:tr w:rsidR="00170CF0" w14:paraId="288BDF33" w14:textId="5FFDFF11" w:rsidTr="00170CF0">
        <w:tc>
          <w:tcPr>
            <w:tcW w:w="1870" w:type="dxa"/>
          </w:tcPr>
          <w:p w14:paraId="44020B50" w14:textId="5FE2B1EA" w:rsidR="00170CF0" w:rsidRDefault="006830BB" w:rsidP="00170CF0">
            <w:r>
              <w:t>Prefer not to say</w:t>
            </w:r>
          </w:p>
        </w:tc>
        <w:tc>
          <w:tcPr>
            <w:tcW w:w="1275" w:type="dxa"/>
          </w:tcPr>
          <w:p w14:paraId="3F653415" w14:textId="77777777" w:rsidR="00170CF0" w:rsidRDefault="00170CF0" w:rsidP="00170CF0">
            <w:r>
              <w:t>1</w:t>
            </w:r>
          </w:p>
        </w:tc>
        <w:tc>
          <w:tcPr>
            <w:tcW w:w="1080" w:type="dxa"/>
          </w:tcPr>
          <w:p w14:paraId="2E2F27E3" w14:textId="4E7F600B" w:rsidR="00170CF0" w:rsidRDefault="006830BB" w:rsidP="00170CF0">
            <w:r>
              <w:t>3</w:t>
            </w:r>
            <w:r w:rsidR="00170CF0" w:rsidRPr="00181B04">
              <w:t>%</w:t>
            </w:r>
          </w:p>
        </w:tc>
      </w:tr>
    </w:tbl>
    <w:p w14:paraId="1351D19B" w14:textId="77777777" w:rsidR="0015641E" w:rsidRDefault="00A06A8C" w:rsidP="00222E5C">
      <w:pPr>
        <w:pStyle w:val="NormalWeb"/>
        <w:rPr>
          <w:color w:val="000000"/>
        </w:rPr>
      </w:pPr>
      <w:r>
        <w:rPr>
          <w:color w:val="000000"/>
        </w:rPr>
        <w:t xml:space="preserve">   </w:t>
      </w:r>
    </w:p>
    <w:p w14:paraId="7A2C167D" w14:textId="16DF65D1" w:rsidR="00AE5F92" w:rsidRDefault="00AE5F92" w:rsidP="00222E5C">
      <w:pPr>
        <w:pStyle w:val="NormalWeb"/>
        <w:rPr>
          <w:color w:val="000000"/>
        </w:rPr>
      </w:pPr>
    </w:p>
    <w:p w14:paraId="1FEE11A7" w14:textId="39739517" w:rsidR="00EA3855" w:rsidRDefault="00AE5F92" w:rsidP="00222E5C">
      <w:pPr>
        <w:pStyle w:val="NormalWeb"/>
        <w:rPr>
          <w:color w:val="000000"/>
        </w:rPr>
      </w:pPr>
      <w:r>
        <w:rPr>
          <w:color w:val="000000"/>
        </w:rPr>
        <w:tab/>
      </w:r>
      <w:r>
        <w:rPr>
          <w:color w:val="000000"/>
        </w:rPr>
        <w:tab/>
      </w:r>
    </w:p>
    <w:p w14:paraId="17B06CE1" w14:textId="77777777" w:rsidR="00AE5F92" w:rsidRDefault="00AE5F92" w:rsidP="00222E5C">
      <w:pPr>
        <w:pStyle w:val="NormalWeb"/>
        <w:rPr>
          <w:color w:val="000000"/>
        </w:rPr>
      </w:pPr>
    </w:p>
    <w:tbl>
      <w:tblPr>
        <w:tblStyle w:val="TableGrid"/>
        <w:tblpPr w:leftFromText="180" w:rightFromText="180" w:vertAnchor="page" w:horzAnchor="margin" w:tblpY="6331"/>
        <w:tblW w:w="0" w:type="auto"/>
        <w:tblLook w:val="04A0" w:firstRow="1" w:lastRow="0" w:firstColumn="1" w:lastColumn="0" w:noHBand="0" w:noVBand="1"/>
      </w:tblPr>
      <w:tblGrid>
        <w:gridCol w:w="1885"/>
        <w:gridCol w:w="1260"/>
        <w:gridCol w:w="1080"/>
      </w:tblGrid>
      <w:tr w:rsidR="00F439CA" w:rsidRPr="00B21365" w14:paraId="6F62AC80" w14:textId="77777777" w:rsidTr="00F439CA">
        <w:tc>
          <w:tcPr>
            <w:tcW w:w="1885" w:type="dxa"/>
          </w:tcPr>
          <w:p w14:paraId="02F6F9AD" w14:textId="77777777" w:rsidR="00F439CA" w:rsidRPr="00B21365" w:rsidRDefault="00F439CA" w:rsidP="00F439CA">
            <w:pPr>
              <w:rPr>
                <w:b/>
                <w:bCs/>
              </w:rPr>
            </w:pPr>
            <w:r w:rsidRPr="00B21365">
              <w:rPr>
                <w:b/>
                <w:bCs/>
              </w:rPr>
              <w:t>Gender</w:t>
            </w:r>
          </w:p>
        </w:tc>
        <w:tc>
          <w:tcPr>
            <w:tcW w:w="1260" w:type="dxa"/>
          </w:tcPr>
          <w:p w14:paraId="57D51F4A" w14:textId="77777777" w:rsidR="00F439CA" w:rsidRPr="00B21365" w:rsidRDefault="00F439CA" w:rsidP="00F439CA">
            <w:pPr>
              <w:rPr>
                <w:b/>
                <w:bCs/>
              </w:rPr>
            </w:pPr>
            <w:r w:rsidRPr="00170CF0">
              <w:rPr>
                <w:b/>
                <w:bCs/>
              </w:rPr>
              <w:t>Count</w:t>
            </w:r>
          </w:p>
        </w:tc>
        <w:tc>
          <w:tcPr>
            <w:tcW w:w="1080" w:type="dxa"/>
          </w:tcPr>
          <w:p w14:paraId="261E31A1" w14:textId="77777777" w:rsidR="00F439CA" w:rsidRPr="00B21365" w:rsidRDefault="00F439CA" w:rsidP="00F439CA">
            <w:pPr>
              <w:rPr>
                <w:b/>
                <w:bCs/>
              </w:rPr>
            </w:pPr>
            <w:r w:rsidRPr="00B21365">
              <w:rPr>
                <w:b/>
                <w:bCs/>
              </w:rPr>
              <w:t>Percen</w:t>
            </w:r>
            <w:r>
              <w:rPr>
                <w:b/>
                <w:bCs/>
              </w:rPr>
              <w:t>t</w:t>
            </w:r>
          </w:p>
        </w:tc>
      </w:tr>
      <w:tr w:rsidR="00F439CA" w14:paraId="7DBEA82C" w14:textId="77777777" w:rsidTr="00F439CA">
        <w:tc>
          <w:tcPr>
            <w:tcW w:w="1885" w:type="dxa"/>
          </w:tcPr>
          <w:p w14:paraId="3780A17D" w14:textId="77777777" w:rsidR="00F439CA" w:rsidRDefault="00F439CA" w:rsidP="00F439CA">
            <w:r>
              <w:t>Male</w:t>
            </w:r>
          </w:p>
        </w:tc>
        <w:tc>
          <w:tcPr>
            <w:tcW w:w="1260" w:type="dxa"/>
          </w:tcPr>
          <w:p w14:paraId="5CBFFCF8" w14:textId="77777777" w:rsidR="00F439CA" w:rsidRDefault="00F439CA" w:rsidP="00F439CA">
            <w:r>
              <w:t>4</w:t>
            </w:r>
          </w:p>
        </w:tc>
        <w:tc>
          <w:tcPr>
            <w:tcW w:w="1080" w:type="dxa"/>
          </w:tcPr>
          <w:p w14:paraId="4C5897A6" w14:textId="77777777" w:rsidR="00F439CA" w:rsidRDefault="00F439CA" w:rsidP="00F439CA">
            <w:r>
              <w:t>12%</w:t>
            </w:r>
          </w:p>
        </w:tc>
      </w:tr>
      <w:tr w:rsidR="00F439CA" w14:paraId="39A3A4A1" w14:textId="77777777" w:rsidTr="00F439CA">
        <w:tc>
          <w:tcPr>
            <w:tcW w:w="1885" w:type="dxa"/>
          </w:tcPr>
          <w:p w14:paraId="16469D44" w14:textId="77777777" w:rsidR="00F439CA" w:rsidRDefault="00F439CA" w:rsidP="00F439CA">
            <w:r>
              <w:t>Female</w:t>
            </w:r>
          </w:p>
        </w:tc>
        <w:tc>
          <w:tcPr>
            <w:tcW w:w="1260" w:type="dxa"/>
          </w:tcPr>
          <w:p w14:paraId="2E0C0828" w14:textId="77777777" w:rsidR="00F439CA" w:rsidRDefault="00F439CA" w:rsidP="00F439CA">
            <w:r>
              <w:t>28</w:t>
            </w:r>
          </w:p>
        </w:tc>
        <w:tc>
          <w:tcPr>
            <w:tcW w:w="1080" w:type="dxa"/>
          </w:tcPr>
          <w:p w14:paraId="1EA1A0D4" w14:textId="77777777" w:rsidR="00F439CA" w:rsidRDefault="00F439CA" w:rsidP="00F439CA">
            <w:r>
              <w:t>85%</w:t>
            </w:r>
          </w:p>
        </w:tc>
      </w:tr>
      <w:tr w:rsidR="00F439CA" w14:paraId="51C6C957" w14:textId="77777777" w:rsidTr="00F439CA">
        <w:tc>
          <w:tcPr>
            <w:tcW w:w="1885" w:type="dxa"/>
          </w:tcPr>
          <w:p w14:paraId="55EF967E" w14:textId="77777777" w:rsidR="00F439CA" w:rsidRDefault="00F439CA" w:rsidP="00F439CA">
            <w:r>
              <w:t>Prefer not to say</w:t>
            </w:r>
          </w:p>
        </w:tc>
        <w:tc>
          <w:tcPr>
            <w:tcW w:w="1260" w:type="dxa"/>
          </w:tcPr>
          <w:p w14:paraId="636D5017" w14:textId="77777777" w:rsidR="00F439CA" w:rsidRDefault="00F439CA" w:rsidP="00F439CA">
            <w:r>
              <w:t>1</w:t>
            </w:r>
          </w:p>
        </w:tc>
        <w:tc>
          <w:tcPr>
            <w:tcW w:w="1080" w:type="dxa"/>
          </w:tcPr>
          <w:p w14:paraId="73A666E8" w14:textId="77777777" w:rsidR="00F439CA" w:rsidRDefault="00F439CA" w:rsidP="00F439CA">
            <w:r>
              <w:t>3%</w:t>
            </w:r>
          </w:p>
        </w:tc>
      </w:tr>
    </w:tbl>
    <w:p w14:paraId="4E9E5D6D" w14:textId="77777777" w:rsidR="00AE5F92" w:rsidRDefault="00AE5F92" w:rsidP="00222E5C">
      <w:pPr>
        <w:pStyle w:val="NormalWeb"/>
        <w:rPr>
          <w:color w:val="000000"/>
        </w:rPr>
      </w:pPr>
    </w:p>
    <w:p w14:paraId="22B537C8" w14:textId="77777777" w:rsidR="00AE5F92" w:rsidRDefault="00AE5F92" w:rsidP="00222E5C">
      <w:pPr>
        <w:pStyle w:val="NormalWeb"/>
        <w:rPr>
          <w:color w:val="000000"/>
        </w:rPr>
      </w:pPr>
    </w:p>
    <w:p w14:paraId="0342D243" w14:textId="77777777" w:rsidR="00F439CA" w:rsidRDefault="00F439CA" w:rsidP="00222E5C">
      <w:pPr>
        <w:pStyle w:val="NormalWeb"/>
        <w:rPr>
          <w:color w:val="000000"/>
        </w:rPr>
      </w:pPr>
    </w:p>
    <w:p w14:paraId="52F9B6A4" w14:textId="77777777" w:rsidR="006830BB" w:rsidRDefault="006830BB" w:rsidP="00222E5C">
      <w:pPr>
        <w:pStyle w:val="NormalWeb"/>
        <w:rPr>
          <w:color w:val="000000"/>
        </w:rPr>
        <w:sectPr w:rsidR="006830BB" w:rsidSect="006830BB">
          <w:type w:val="continuous"/>
          <w:pgSz w:w="15840" w:h="12240" w:orient="landscape"/>
          <w:pgMar w:top="1440" w:right="1440" w:bottom="1440" w:left="1440" w:header="720" w:footer="720" w:gutter="0"/>
          <w:cols w:num="2" w:space="720"/>
          <w:docGrid w:linePitch="360"/>
        </w:sectPr>
      </w:pPr>
    </w:p>
    <w:p w14:paraId="365534A1" w14:textId="77777777" w:rsidR="00D27D2B" w:rsidRDefault="00D27D2B" w:rsidP="00222E5C">
      <w:pPr>
        <w:pStyle w:val="NormalWeb"/>
        <w:rPr>
          <w:color w:val="000000"/>
        </w:rPr>
      </w:pPr>
    </w:p>
    <w:p w14:paraId="4ED065F4" w14:textId="77777777" w:rsidR="00F439CA" w:rsidRDefault="00F439CA" w:rsidP="00222E5C">
      <w:pPr>
        <w:pStyle w:val="NormalWeb"/>
        <w:rPr>
          <w:color w:val="000000"/>
        </w:rPr>
      </w:pPr>
    </w:p>
    <w:p w14:paraId="6C4C2955" w14:textId="77777777" w:rsidR="00F439CA" w:rsidRDefault="00F439CA" w:rsidP="00222E5C">
      <w:pPr>
        <w:pStyle w:val="NormalWeb"/>
        <w:rPr>
          <w:color w:val="000000"/>
        </w:rPr>
      </w:pPr>
    </w:p>
    <w:p w14:paraId="1B1EF8B1" w14:textId="77777777" w:rsidR="00F439CA" w:rsidRDefault="00F439CA" w:rsidP="00222E5C">
      <w:pPr>
        <w:pStyle w:val="NormalWeb"/>
        <w:rPr>
          <w:color w:val="000000"/>
        </w:rPr>
      </w:pPr>
    </w:p>
    <w:p w14:paraId="0008FA44" w14:textId="77777777" w:rsidR="00F439CA" w:rsidRDefault="00F439CA" w:rsidP="00222E5C">
      <w:pPr>
        <w:pStyle w:val="NormalWeb"/>
        <w:rPr>
          <w:color w:val="000000"/>
        </w:rPr>
      </w:pPr>
    </w:p>
    <w:p w14:paraId="7E36C628" w14:textId="77777777" w:rsidR="00F439CA" w:rsidRDefault="00F439CA" w:rsidP="00222E5C">
      <w:pPr>
        <w:pStyle w:val="NormalWeb"/>
        <w:rPr>
          <w:color w:val="000000"/>
        </w:rPr>
      </w:pPr>
    </w:p>
    <w:p w14:paraId="3311A520" w14:textId="6960A695" w:rsidR="00F439CA" w:rsidRPr="006E30DA" w:rsidRDefault="00F439CA" w:rsidP="00F439CA">
      <w:pPr>
        <w:rPr>
          <w:rFonts w:cs="Times New Roman"/>
          <w:b/>
          <w:bCs/>
        </w:rPr>
      </w:pPr>
      <w:r>
        <w:rPr>
          <w:rFonts w:cs="Times New Roman"/>
          <w:b/>
          <w:bCs/>
        </w:rPr>
        <w:lastRenderedPageBreak/>
        <w:t xml:space="preserve">CAEP Standard 4 Program </w:t>
      </w:r>
      <w:proofErr w:type="gramStart"/>
      <w:r>
        <w:rPr>
          <w:rFonts w:cs="Times New Roman"/>
          <w:b/>
          <w:bCs/>
        </w:rPr>
        <w:t>Impact  R</w:t>
      </w:r>
      <w:r w:rsidRPr="006E30DA">
        <w:rPr>
          <w:rFonts w:cs="Times New Roman"/>
          <w:b/>
          <w:bCs/>
        </w:rPr>
        <w:t>4.1</w:t>
      </w:r>
      <w:proofErr w:type="gramEnd"/>
      <w:r w:rsidRPr="006E30DA">
        <w:rPr>
          <w:rFonts w:cs="Times New Roman"/>
          <w:b/>
          <w:bCs/>
        </w:rPr>
        <w:t xml:space="preserve">: Evidence of Completer Effectiveness </w:t>
      </w:r>
    </w:p>
    <w:p w14:paraId="46F89C15" w14:textId="51B84E3E" w:rsidR="00F439CA" w:rsidRDefault="00F439CA" w:rsidP="00F439CA">
      <w:pPr>
        <w:rPr>
          <w:rFonts w:cs="Times New Roman"/>
          <w:i/>
          <w:iCs/>
        </w:rPr>
      </w:pPr>
      <w:r w:rsidRPr="00FB46E4">
        <w:rPr>
          <w:rFonts w:cs="Times New Roman"/>
          <w:b/>
          <w:bCs/>
        </w:rPr>
        <w:t>CAEP Expectation:</w:t>
      </w:r>
      <w:r>
        <w:rPr>
          <w:rFonts w:cs="Times New Roman"/>
          <w:b/>
          <w:bCs/>
        </w:rPr>
        <w:t xml:space="preserve"> </w:t>
      </w:r>
      <w:r w:rsidRPr="00FB46E4">
        <w:rPr>
          <w:rFonts w:cs="Times New Roman"/>
          <w:i/>
          <w:iCs/>
        </w:rPr>
        <w:t>The provider demonstrates that program completers effectively apply professional knowledge, skills, and dispositions.</w:t>
      </w:r>
    </w:p>
    <w:p w14:paraId="258ECE47" w14:textId="30401D6B" w:rsidR="00A649C5" w:rsidRDefault="00222E5C" w:rsidP="00F439CA">
      <w:pPr>
        <w:rPr>
          <w:noProof/>
        </w:rPr>
      </w:pPr>
      <w:r w:rsidRPr="00222E5C">
        <w:rPr>
          <w:color w:val="000000"/>
        </w:rPr>
        <w:t>When asked to rate their teaching effectiveness on a 5-point scale (5=Very Effective; 4=Effective; 3=Moderately Effective; 2=Somewhat Effective; 1=Not Very Effective), most Alumni respondents rated themselves as</w:t>
      </w:r>
      <w:r w:rsidR="00A649C5">
        <w:rPr>
          <w:color w:val="000000"/>
        </w:rPr>
        <w:t xml:space="preserve"> “Somewhat Effective,”</w:t>
      </w:r>
      <w:r w:rsidRPr="00222E5C">
        <w:rPr>
          <w:color w:val="000000"/>
        </w:rPr>
        <w:t xml:space="preserve"> "Effective" or "Very Effective." Similarly, graduates reported strong confidence in their positive impact on P-12 learners.</w:t>
      </w:r>
      <w:r w:rsidR="00A649C5" w:rsidRPr="00A649C5">
        <w:rPr>
          <w:noProof/>
        </w:rPr>
        <w:t xml:space="preserve"> </w:t>
      </w:r>
    </w:p>
    <w:p w14:paraId="5FF604F0" w14:textId="47FFA3B6" w:rsidR="00A649C5" w:rsidRPr="00A649C5" w:rsidRDefault="00A649C5" w:rsidP="00A649C5">
      <w:pPr>
        <w:pStyle w:val="NormalWeb"/>
        <w:jc w:val="center"/>
        <w:rPr>
          <w:b/>
          <w:bCs/>
          <w:noProof/>
        </w:rPr>
      </w:pPr>
      <w:r w:rsidRPr="00A649C5">
        <w:rPr>
          <w:b/>
          <w:bCs/>
          <w:noProof/>
        </w:rPr>
        <w:t>Teaching Effectiveness</w:t>
      </w:r>
    </w:p>
    <w:p w14:paraId="79BD5217" w14:textId="4A6F2943" w:rsidR="00222E5C" w:rsidRDefault="00A649C5" w:rsidP="00A649C5">
      <w:pPr>
        <w:pStyle w:val="NormalWeb"/>
        <w:jc w:val="center"/>
        <w:rPr>
          <w:color w:val="000000"/>
        </w:rPr>
      </w:pPr>
      <w:r w:rsidRPr="008C0976">
        <w:rPr>
          <w:noProof/>
        </w:rPr>
        <w:drawing>
          <wp:inline distT="0" distB="0" distL="0" distR="0" wp14:anchorId="14CA96BC" wp14:editId="3B0568CA">
            <wp:extent cx="4572000" cy="1092200"/>
            <wp:effectExtent l="0" t="0" r="0" b="0"/>
            <wp:docPr id="514505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505781" name=""/>
                    <pic:cNvPicPr/>
                  </pic:nvPicPr>
                  <pic:blipFill rotWithShape="1">
                    <a:blip r:embed="rId9"/>
                    <a:srcRect t="12245"/>
                    <a:stretch>
                      <a:fillRect/>
                    </a:stretch>
                  </pic:blipFill>
                  <pic:spPr bwMode="auto">
                    <a:xfrm>
                      <a:off x="0" y="0"/>
                      <a:ext cx="4572239" cy="1092257"/>
                    </a:xfrm>
                    <a:prstGeom prst="rect">
                      <a:avLst/>
                    </a:prstGeom>
                    <a:ln>
                      <a:noFill/>
                    </a:ln>
                    <a:extLst>
                      <a:ext uri="{53640926-AAD7-44D8-BBD7-CCE9431645EC}">
                        <a14:shadowObscured xmlns:a14="http://schemas.microsoft.com/office/drawing/2010/main"/>
                      </a:ext>
                    </a:extLst>
                  </pic:spPr>
                </pic:pic>
              </a:graphicData>
            </a:graphic>
          </wp:inline>
        </w:drawing>
      </w:r>
    </w:p>
    <w:p w14:paraId="4F7DAEE1" w14:textId="1324A07B" w:rsidR="00A649C5" w:rsidRPr="00A649C5" w:rsidRDefault="00A649C5" w:rsidP="00A649C5">
      <w:pPr>
        <w:pStyle w:val="NormalWeb"/>
        <w:jc w:val="center"/>
        <w:rPr>
          <w:b/>
          <w:bCs/>
          <w:color w:val="000000"/>
        </w:rPr>
      </w:pPr>
      <w:r w:rsidRPr="00A649C5">
        <w:rPr>
          <w:b/>
          <w:bCs/>
          <w:color w:val="000000"/>
        </w:rPr>
        <w:t>Positive Impact on P-12 Learners</w:t>
      </w:r>
    </w:p>
    <w:p w14:paraId="0752A4EE" w14:textId="49140CD9" w:rsidR="00A649C5" w:rsidRDefault="00A649C5" w:rsidP="00A649C5">
      <w:pPr>
        <w:pStyle w:val="NormalWeb"/>
        <w:jc w:val="center"/>
        <w:rPr>
          <w:color w:val="000000"/>
        </w:rPr>
      </w:pPr>
      <w:r w:rsidRPr="00A649C5">
        <w:rPr>
          <w:noProof/>
          <w:color w:val="000000"/>
        </w:rPr>
        <w:drawing>
          <wp:inline distT="0" distB="0" distL="0" distR="0" wp14:anchorId="213DC204" wp14:editId="5948DD7B">
            <wp:extent cx="4464279" cy="1054154"/>
            <wp:effectExtent l="0" t="0" r="0" b="0"/>
            <wp:docPr id="678989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989992" name=""/>
                    <pic:cNvPicPr/>
                  </pic:nvPicPr>
                  <pic:blipFill>
                    <a:blip r:embed="rId10"/>
                    <a:stretch>
                      <a:fillRect/>
                    </a:stretch>
                  </pic:blipFill>
                  <pic:spPr>
                    <a:xfrm>
                      <a:off x="0" y="0"/>
                      <a:ext cx="4464279" cy="1054154"/>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2695"/>
        <w:gridCol w:w="2610"/>
        <w:gridCol w:w="3600"/>
      </w:tblGrid>
      <w:tr w:rsidR="00275F73" w14:paraId="2E28B9F5" w14:textId="77777777" w:rsidTr="00A649C5">
        <w:trPr>
          <w:jc w:val="center"/>
        </w:trPr>
        <w:tc>
          <w:tcPr>
            <w:tcW w:w="2695" w:type="dxa"/>
          </w:tcPr>
          <w:p w14:paraId="47694150" w14:textId="2C274F58" w:rsidR="00275F73" w:rsidRPr="00514603" w:rsidRDefault="00275F73" w:rsidP="003C4AF6">
            <w:pPr>
              <w:jc w:val="center"/>
              <w:rPr>
                <w:rFonts w:ascii="Times New Roman" w:hAnsi="Times New Roman" w:cs="Times New Roman"/>
              </w:rPr>
            </w:pPr>
            <w:r w:rsidRPr="00514603">
              <w:rPr>
                <w:rFonts w:ascii="Times New Roman" w:hAnsi="Times New Roman" w:cs="Times New Roman"/>
              </w:rPr>
              <w:t>N=</w:t>
            </w:r>
            <w:r w:rsidR="006830BB">
              <w:rPr>
                <w:rFonts w:ascii="Times New Roman" w:hAnsi="Times New Roman" w:cs="Times New Roman"/>
              </w:rPr>
              <w:t>22</w:t>
            </w:r>
          </w:p>
        </w:tc>
        <w:tc>
          <w:tcPr>
            <w:tcW w:w="2610" w:type="dxa"/>
          </w:tcPr>
          <w:p w14:paraId="2BFB7F11" w14:textId="77777777" w:rsidR="00275F73" w:rsidRPr="00514603" w:rsidRDefault="00275F73" w:rsidP="003C4AF6">
            <w:pPr>
              <w:jc w:val="center"/>
              <w:rPr>
                <w:rFonts w:ascii="Times New Roman" w:hAnsi="Times New Roman" w:cs="Times New Roman"/>
              </w:rPr>
            </w:pPr>
            <w:r w:rsidRPr="00514603">
              <w:rPr>
                <w:rFonts w:ascii="Times New Roman" w:hAnsi="Times New Roman" w:cs="Times New Roman"/>
              </w:rPr>
              <w:t>Teaching Effectiveness</w:t>
            </w:r>
          </w:p>
        </w:tc>
        <w:tc>
          <w:tcPr>
            <w:tcW w:w="3600" w:type="dxa"/>
          </w:tcPr>
          <w:p w14:paraId="6A468351" w14:textId="77777777" w:rsidR="00275F73" w:rsidRPr="00514603" w:rsidRDefault="00275F73" w:rsidP="003C4AF6">
            <w:pPr>
              <w:jc w:val="center"/>
              <w:rPr>
                <w:rFonts w:ascii="Times New Roman" w:hAnsi="Times New Roman" w:cs="Times New Roman"/>
              </w:rPr>
            </w:pPr>
            <w:r w:rsidRPr="00514603">
              <w:rPr>
                <w:rFonts w:ascii="Times New Roman" w:hAnsi="Times New Roman" w:cs="Times New Roman"/>
              </w:rPr>
              <w:t>Positive Impact on K-12 Learning</w:t>
            </w:r>
          </w:p>
        </w:tc>
      </w:tr>
      <w:tr w:rsidR="00275F73" w14:paraId="33A3E0D2" w14:textId="77777777" w:rsidTr="00A649C5">
        <w:trPr>
          <w:jc w:val="center"/>
        </w:trPr>
        <w:tc>
          <w:tcPr>
            <w:tcW w:w="2695" w:type="dxa"/>
          </w:tcPr>
          <w:p w14:paraId="6B72A552" w14:textId="3D1B3B3F" w:rsidR="00275F73" w:rsidRPr="00514603" w:rsidRDefault="00275F73" w:rsidP="003C4AF6">
            <w:pPr>
              <w:rPr>
                <w:rFonts w:ascii="Times New Roman" w:hAnsi="Times New Roman" w:cs="Times New Roman"/>
              </w:rPr>
            </w:pPr>
            <w:r w:rsidRPr="00514603">
              <w:rPr>
                <w:rFonts w:ascii="Times New Roman" w:hAnsi="Times New Roman" w:cs="Times New Roman"/>
              </w:rPr>
              <w:t xml:space="preserve">5 </w:t>
            </w:r>
            <w:r w:rsidR="006830BB">
              <w:rPr>
                <w:rFonts w:ascii="Times New Roman" w:hAnsi="Times New Roman" w:cs="Times New Roman"/>
              </w:rPr>
              <w:t>-</w:t>
            </w:r>
            <w:r w:rsidRPr="00514603">
              <w:rPr>
                <w:rFonts w:ascii="Times New Roman" w:hAnsi="Times New Roman" w:cs="Times New Roman"/>
              </w:rPr>
              <w:t xml:space="preserve"> Very Effective</w:t>
            </w:r>
          </w:p>
        </w:tc>
        <w:tc>
          <w:tcPr>
            <w:tcW w:w="2610" w:type="dxa"/>
          </w:tcPr>
          <w:p w14:paraId="283D3945" w14:textId="6E055276" w:rsidR="00275F73" w:rsidRPr="00514603" w:rsidRDefault="006A5775" w:rsidP="003C4AF6">
            <w:pPr>
              <w:jc w:val="center"/>
              <w:rPr>
                <w:rFonts w:ascii="Times New Roman" w:hAnsi="Times New Roman" w:cs="Times New Roman"/>
              </w:rPr>
            </w:pPr>
            <w:r>
              <w:rPr>
                <w:rFonts w:ascii="Times New Roman" w:hAnsi="Times New Roman" w:cs="Times New Roman"/>
              </w:rPr>
              <w:t>1</w:t>
            </w:r>
            <w:r w:rsidR="006830BB">
              <w:rPr>
                <w:rFonts w:ascii="Times New Roman" w:hAnsi="Times New Roman" w:cs="Times New Roman"/>
              </w:rPr>
              <w:t>8</w:t>
            </w:r>
            <w:r>
              <w:rPr>
                <w:rFonts w:ascii="Times New Roman" w:hAnsi="Times New Roman" w:cs="Times New Roman"/>
              </w:rPr>
              <w:t>%</w:t>
            </w:r>
          </w:p>
        </w:tc>
        <w:tc>
          <w:tcPr>
            <w:tcW w:w="3600" w:type="dxa"/>
          </w:tcPr>
          <w:p w14:paraId="4FCAD6EB" w14:textId="55A8EB78" w:rsidR="00275F73" w:rsidRPr="00514603" w:rsidRDefault="006830BB" w:rsidP="003C4AF6">
            <w:pPr>
              <w:jc w:val="center"/>
              <w:rPr>
                <w:rFonts w:ascii="Times New Roman" w:hAnsi="Times New Roman" w:cs="Times New Roman"/>
              </w:rPr>
            </w:pPr>
            <w:r>
              <w:rPr>
                <w:rFonts w:ascii="Times New Roman" w:hAnsi="Times New Roman" w:cs="Times New Roman"/>
              </w:rPr>
              <w:t>50</w:t>
            </w:r>
            <w:r w:rsidR="00D35A79">
              <w:rPr>
                <w:rFonts w:ascii="Times New Roman" w:hAnsi="Times New Roman" w:cs="Times New Roman"/>
              </w:rPr>
              <w:t>%</w:t>
            </w:r>
          </w:p>
        </w:tc>
      </w:tr>
      <w:tr w:rsidR="00275F73" w14:paraId="58D4E77F" w14:textId="77777777" w:rsidTr="00A649C5">
        <w:trPr>
          <w:jc w:val="center"/>
        </w:trPr>
        <w:tc>
          <w:tcPr>
            <w:tcW w:w="2695" w:type="dxa"/>
          </w:tcPr>
          <w:p w14:paraId="30F49DE6" w14:textId="00EABCB8" w:rsidR="00275F73" w:rsidRPr="00514603" w:rsidRDefault="00275F73" w:rsidP="003C4AF6">
            <w:pPr>
              <w:rPr>
                <w:rFonts w:ascii="Times New Roman" w:hAnsi="Times New Roman" w:cs="Times New Roman"/>
              </w:rPr>
            </w:pPr>
            <w:r w:rsidRPr="00514603">
              <w:rPr>
                <w:rFonts w:ascii="Times New Roman" w:hAnsi="Times New Roman" w:cs="Times New Roman"/>
              </w:rPr>
              <w:t xml:space="preserve">4 </w:t>
            </w:r>
            <w:r w:rsidR="006830BB">
              <w:rPr>
                <w:rFonts w:ascii="Times New Roman" w:hAnsi="Times New Roman" w:cs="Times New Roman"/>
              </w:rPr>
              <w:t>-</w:t>
            </w:r>
            <w:r w:rsidRPr="00514603">
              <w:rPr>
                <w:rFonts w:ascii="Times New Roman" w:hAnsi="Times New Roman" w:cs="Times New Roman"/>
              </w:rPr>
              <w:t xml:space="preserve"> Effective</w:t>
            </w:r>
          </w:p>
        </w:tc>
        <w:tc>
          <w:tcPr>
            <w:tcW w:w="2610" w:type="dxa"/>
          </w:tcPr>
          <w:p w14:paraId="335A5094" w14:textId="7A42A184" w:rsidR="00275F73" w:rsidRPr="00514603" w:rsidRDefault="006830BB" w:rsidP="00390FB8">
            <w:pPr>
              <w:jc w:val="center"/>
              <w:rPr>
                <w:rFonts w:ascii="Times New Roman" w:hAnsi="Times New Roman" w:cs="Times New Roman"/>
              </w:rPr>
            </w:pPr>
            <w:r>
              <w:rPr>
                <w:rFonts w:ascii="Times New Roman" w:hAnsi="Times New Roman" w:cs="Times New Roman"/>
              </w:rPr>
              <w:t>59</w:t>
            </w:r>
            <w:r w:rsidR="00963B90">
              <w:rPr>
                <w:rFonts w:ascii="Times New Roman" w:hAnsi="Times New Roman" w:cs="Times New Roman"/>
              </w:rPr>
              <w:t>%</w:t>
            </w:r>
          </w:p>
        </w:tc>
        <w:tc>
          <w:tcPr>
            <w:tcW w:w="3600" w:type="dxa"/>
          </w:tcPr>
          <w:p w14:paraId="2AD2174E" w14:textId="07449485" w:rsidR="00275F73" w:rsidRPr="00514603" w:rsidRDefault="006830BB" w:rsidP="003C4AF6">
            <w:pPr>
              <w:jc w:val="center"/>
              <w:rPr>
                <w:rFonts w:ascii="Times New Roman" w:hAnsi="Times New Roman" w:cs="Times New Roman"/>
              </w:rPr>
            </w:pPr>
            <w:r>
              <w:rPr>
                <w:rFonts w:ascii="Times New Roman" w:hAnsi="Times New Roman" w:cs="Times New Roman"/>
              </w:rPr>
              <w:t>45</w:t>
            </w:r>
            <w:r w:rsidR="00183B27">
              <w:rPr>
                <w:rFonts w:ascii="Times New Roman" w:hAnsi="Times New Roman" w:cs="Times New Roman"/>
              </w:rPr>
              <w:t>%</w:t>
            </w:r>
          </w:p>
        </w:tc>
      </w:tr>
      <w:tr w:rsidR="00275F73" w14:paraId="0FF297F4" w14:textId="77777777" w:rsidTr="00A649C5">
        <w:trPr>
          <w:trHeight w:val="70"/>
          <w:jc w:val="center"/>
        </w:trPr>
        <w:tc>
          <w:tcPr>
            <w:tcW w:w="2695" w:type="dxa"/>
          </w:tcPr>
          <w:p w14:paraId="7AC1DD02" w14:textId="196C1EB3" w:rsidR="00275F73" w:rsidRPr="00514603" w:rsidRDefault="00275F73" w:rsidP="003C4AF6">
            <w:pPr>
              <w:rPr>
                <w:rFonts w:ascii="Times New Roman" w:hAnsi="Times New Roman" w:cs="Times New Roman"/>
              </w:rPr>
            </w:pPr>
            <w:r w:rsidRPr="00514603">
              <w:rPr>
                <w:rFonts w:ascii="Times New Roman" w:hAnsi="Times New Roman" w:cs="Times New Roman"/>
              </w:rPr>
              <w:t xml:space="preserve">3 </w:t>
            </w:r>
            <w:r w:rsidR="006830BB">
              <w:rPr>
                <w:rFonts w:ascii="Times New Roman" w:hAnsi="Times New Roman" w:cs="Times New Roman"/>
              </w:rPr>
              <w:t>-</w:t>
            </w:r>
            <w:r w:rsidRPr="00514603">
              <w:rPr>
                <w:rFonts w:ascii="Times New Roman" w:hAnsi="Times New Roman" w:cs="Times New Roman"/>
              </w:rPr>
              <w:t xml:space="preserve"> Moderately Effective</w:t>
            </w:r>
          </w:p>
        </w:tc>
        <w:tc>
          <w:tcPr>
            <w:tcW w:w="2610" w:type="dxa"/>
          </w:tcPr>
          <w:p w14:paraId="7A4888D0" w14:textId="1E6C28CD" w:rsidR="00275F73" w:rsidRPr="00514603" w:rsidRDefault="006830BB" w:rsidP="003C4AF6">
            <w:pPr>
              <w:jc w:val="center"/>
              <w:rPr>
                <w:rFonts w:ascii="Times New Roman" w:hAnsi="Times New Roman" w:cs="Times New Roman"/>
              </w:rPr>
            </w:pPr>
            <w:r>
              <w:rPr>
                <w:rFonts w:ascii="Times New Roman" w:hAnsi="Times New Roman" w:cs="Times New Roman"/>
              </w:rPr>
              <w:t>2</w:t>
            </w:r>
            <w:r w:rsidR="00390FB8">
              <w:rPr>
                <w:rFonts w:ascii="Times New Roman" w:hAnsi="Times New Roman" w:cs="Times New Roman"/>
              </w:rPr>
              <w:t>3%</w:t>
            </w:r>
          </w:p>
        </w:tc>
        <w:tc>
          <w:tcPr>
            <w:tcW w:w="3600" w:type="dxa"/>
          </w:tcPr>
          <w:p w14:paraId="4BB593C4" w14:textId="0EB4BDAF" w:rsidR="00275F73" w:rsidRPr="00514603" w:rsidRDefault="006830BB" w:rsidP="003C4AF6">
            <w:pPr>
              <w:jc w:val="center"/>
              <w:rPr>
                <w:rFonts w:ascii="Times New Roman" w:hAnsi="Times New Roman" w:cs="Times New Roman"/>
              </w:rPr>
            </w:pPr>
            <w:r>
              <w:rPr>
                <w:rFonts w:ascii="Times New Roman" w:hAnsi="Times New Roman" w:cs="Times New Roman"/>
              </w:rPr>
              <w:t>5</w:t>
            </w:r>
            <w:r w:rsidR="00183B27">
              <w:rPr>
                <w:rFonts w:ascii="Times New Roman" w:hAnsi="Times New Roman" w:cs="Times New Roman"/>
              </w:rPr>
              <w:t>%</w:t>
            </w:r>
          </w:p>
        </w:tc>
      </w:tr>
      <w:tr w:rsidR="006830BB" w14:paraId="2309EF41" w14:textId="77777777" w:rsidTr="00A649C5">
        <w:trPr>
          <w:trHeight w:val="70"/>
          <w:jc w:val="center"/>
        </w:trPr>
        <w:tc>
          <w:tcPr>
            <w:tcW w:w="2695" w:type="dxa"/>
          </w:tcPr>
          <w:p w14:paraId="403124F3" w14:textId="7B306B75" w:rsidR="006830BB" w:rsidRPr="00514603" w:rsidRDefault="006830BB" w:rsidP="003C4AF6">
            <w:pPr>
              <w:rPr>
                <w:rFonts w:ascii="Times New Roman" w:hAnsi="Times New Roman" w:cs="Times New Roman"/>
              </w:rPr>
            </w:pPr>
            <w:r>
              <w:rPr>
                <w:rFonts w:ascii="Times New Roman" w:hAnsi="Times New Roman" w:cs="Times New Roman"/>
              </w:rPr>
              <w:t xml:space="preserve">2 </w:t>
            </w:r>
            <w:r w:rsidR="00A649C5">
              <w:rPr>
                <w:rFonts w:ascii="Times New Roman" w:hAnsi="Times New Roman" w:cs="Times New Roman"/>
              </w:rPr>
              <w:t>–</w:t>
            </w:r>
            <w:r>
              <w:rPr>
                <w:rFonts w:ascii="Times New Roman" w:hAnsi="Times New Roman" w:cs="Times New Roman"/>
              </w:rPr>
              <w:t xml:space="preserve"> </w:t>
            </w:r>
            <w:r w:rsidR="00A649C5">
              <w:rPr>
                <w:rFonts w:ascii="Times New Roman" w:hAnsi="Times New Roman" w:cs="Times New Roman"/>
              </w:rPr>
              <w:t>Somewhat Effective</w:t>
            </w:r>
          </w:p>
        </w:tc>
        <w:tc>
          <w:tcPr>
            <w:tcW w:w="2610" w:type="dxa"/>
          </w:tcPr>
          <w:p w14:paraId="386350B3" w14:textId="0B97690F" w:rsidR="006830BB" w:rsidRDefault="00A649C5" w:rsidP="003C4AF6">
            <w:pPr>
              <w:jc w:val="center"/>
              <w:rPr>
                <w:rFonts w:ascii="Times New Roman" w:hAnsi="Times New Roman" w:cs="Times New Roman"/>
              </w:rPr>
            </w:pPr>
            <w:r>
              <w:rPr>
                <w:rFonts w:ascii="Times New Roman" w:hAnsi="Times New Roman" w:cs="Times New Roman"/>
              </w:rPr>
              <w:t>-</w:t>
            </w:r>
          </w:p>
        </w:tc>
        <w:tc>
          <w:tcPr>
            <w:tcW w:w="3600" w:type="dxa"/>
          </w:tcPr>
          <w:p w14:paraId="551BB55F" w14:textId="4AA61A2C" w:rsidR="006830BB" w:rsidRDefault="00A649C5" w:rsidP="003C4AF6">
            <w:pPr>
              <w:jc w:val="center"/>
              <w:rPr>
                <w:rFonts w:ascii="Times New Roman" w:hAnsi="Times New Roman" w:cs="Times New Roman"/>
              </w:rPr>
            </w:pPr>
            <w:r>
              <w:rPr>
                <w:rFonts w:ascii="Times New Roman" w:hAnsi="Times New Roman" w:cs="Times New Roman"/>
              </w:rPr>
              <w:t>-</w:t>
            </w:r>
          </w:p>
        </w:tc>
      </w:tr>
      <w:tr w:rsidR="00275F73" w14:paraId="06D288D5" w14:textId="77777777" w:rsidTr="00A649C5">
        <w:trPr>
          <w:jc w:val="center"/>
        </w:trPr>
        <w:tc>
          <w:tcPr>
            <w:tcW w:w="2695" w:type="dxa"/>
          </w:tcPr>
          <w:p w14:paraId="68BC25A2" w14:textId="482C08A1" w:rsidR="00275F73" w:rsidRPr="00514603" w:rsidRDefault="00275F73" w:rsidP="003C4AF6">
            <w:pPr>
              <w:rPr>
                <w:rFonts w:ascii="Times New Roman" w:hAnsi="Times New Roman" w:cs="Times New Roman"/>
              </w:rPr>
            </w:pPr>
            <w:r w:rsidRPr="00514603">
              <w:rPr>
                <w:rFonts w:ascii="Times New Roman" w:hAnsi="Times New Roman" w:cs="Times New Roman"/>
              </w:rPr>
              <w:t xml:space="preserve">1 </w:t>
            </w:r>
            <w:r w:rsidR="006830BB">
              <w:rPr>
                <w:rFonts w:ascii="Times New Roman" w:hAnsi="Times New Roman" w:cs="Times New Roman"/>
              </w:rPr>
              <w:t>-</w:t>
            </w:r>
            <w:r w:rsidRPr="00514603">
              <w:rPr>
                <w:rFonts w:ascii="Times New Roman" w:hAnsi="Times New Roman" w:cs="Times New Roman"/>
              </w:rPr>
              <w:t xml:space="preserve"> Not Very Effective</w:t>
            </w:r>
          </w:p>
        </w:tc>
        <w:tc>
          <w:tcPr>
            <w:tcW w:w="2610" w:type="dxa"/>
          </w:tcPr>
          <w:p w14:paraId="14FCA852" w14:textId="2EFAD0E3" w:rsidR="00275F73" w:rsidRPr="00514603" w:rsidRDefault="006830BB" w:rsidP="003C4AF6">
            <w:pPr>
              <w:jc w:val="center"/>
              <w:rPr>
                <w:rFonts w:ascii="Times New Roman" w:hAnsi="Times New Roman" w:cs="Times New Roman"/>
              </w:rPr>
            </w:pPr>
            <w:r>
              <w:rPr>
                <w:rFonts w:ascii="Times New Roman" w:hAnsi="Times New Roman" w:cs="Times New Roman"/>
              </w:rPr>
              <w:t>-</w:t>
            </w:r>
          </w:p>
        </w:tc>
        <w:tc>
          <w:tcPr>
            <w:tcW w:w="3600" w:type="dxa"/>
          </w:tcPr>
          <w:p w14:paraId="3BD21DEB" w14:textId="3BE3D8A4" w:rsidR="00275F73" w:rsidRPr="00514603" w:rsidRDefault="006830BB" w:rsidP="003C4AF6">
            <w:pPr>
              <w:jc w:val="center"/>
              <w:rPr>
                <w:rFonts w:ascii="Times New Roman" w:hAnsi="Times New Roman" w:cs="Times New Roman"/>
              </w:rPr>
            </w:pPr>
            <w:r>
              <w:rPr>
                <w:rFonts w:ascii="Times New Roman" w:hAnsi="Times New Roman" w:cs="Times New Roman"/>
              </w:rPr>
              <w:t>-</w:t>
            </w:r>
          </w:p>
        </w:tc>
      </w:tr>
    </w:tbl>
    <w:p w14:paraId="517CB848" w14:textId="4DECE8DF" w:rsidR="00222E5C" w:rsidRDefault="00222E5C" w:rsidP="00D71737">
      <w:pPr>
        <w:pStyle w:val="NormalWeb"/>
        <w:rPr>
          <w:color w:val="000000"/>
        </w:rPr>
      </w:pPr>
      <w:r w:rsidRPr="00D71737">
        <w:rPr>
          <w:color w:val="000000"/>
        </w:rPr>
        <w:lastRenderedPageBreak/>
        <w:t>Across all nine Missouri Teacher Standards, Alumni respondents predominantly rated themselves as "Skilled Candidates" (3) or "Exceeding Candidates" (4), indicating confidence in their professional competencies. The strongest self-ratings appeared in:</w:t>
      </w:r>
      <w:r w:rsidR="00D71737">
        <w:rPr>
          <w:color w:val="000000"/>
        </w:rPr>
        <w:t xml:space="preserve"> </w:t>
      </w:r>
      <w:r w:rsidRPr="00D71737">
        <w:rPr>
          <w:color w:val="000000"/>
        </w:rPr>
        <w:t>Standard 8 (Professionalism)</w:t>
      </w:r>
      <w:r w:rsidR="00D71737">
        <w:rPr>
          <w:color w:val="000000"/>
        </w:rPr>
        <w:t xml:space="preserve">, </w:t>
      </w:r>
      <w:r w:rsidRPr="00D71737">
        <w:rPr>
          <w:color w:val="000000"/>
        </w:rPr>
        <w:t>Standard 6 (Effective Communication)</w:t>
      </w:r>
      <w:r w:rsidR="00D71737">
        <w:rPr>
          <w:color w:val="000000"/>
        </w:rPr>
        <w:t xml:space="preserve"> and </w:t>
      </w:r>
      <w:r w:rsidRPr="00D71737">
        <w:rPr>
          <w:color w:val="000000"/>
        </w:rPr>
        <w:t>Standard 9 (Professional Collaboration)</w:t>
      </w:r>
    </w:p>
    <w:p w14:paraId="7CF674C3" w14:textId="2373CE4C" w:rsidR="00D71737" w:rsidRPr="00D71737" w:rsidRDefault="00D71737" w:rsidP="00D71737">
      <w:pPr>
        <w:pStyle w:val="NormalWeb"/>
        <w:jc w:val="center"/>
        <w:rPr>
          <w:color w:val="000000"/>
        </w:rPr>
      </w:pPr>
    </w:p>
    <w:tbl>
      <w:tblPr>
        <w:tblStyle w:val="TableGrid"/>
        <w:tblW w:w="0" w:type="auto"/>
        <w:jc w:val="center"/>
        <w:tblLook w:val="04A0" w:firstRow="1" w:lastRow="0" w:firstColumn="1" w:lastColumn="0" w:noHBand="0" w:noVBand="1"/>
      </w:tblPr>
      <w:tblGrid>
        <w:gridCol w:w="3047"/>
        <w:gridCol w:w="1187"/>
        <w:gridCol w:w="736"/>
      </w:tblGrid>
      <w:tr w:rsidR="00D71737" w:rsidRPr="00D71737" w14:paraId="71698598" w14:textId="77777777" w:rsidTr="00D71737">
        <w:trPr>
          <w:jc w:val="center"/>
        </w:trPr>
        <w:tc>
          <w:tcPr>
            <w:tcW w:w="0" w:type="auto"/>
            <w:hideMark/>
          </w:tcPr>
          <w:p w14:paraId="307F8E65" w14:textId="3BAA7814" w:rsidR="00D71737" w:rsidRPr="00D71737" w:rsidRDefault="00D71737" w:rsidP="00D71737">
            <w:pPr>
              <w:spacing w:line="240" w:lineRule="atLeast"/>
              <w:rPr>
                <w:rFonts w:ascii="Helvetica" w:eastAsia="Times New Roman" w:hAnsi="Helvetica" w:cs="Helvetica"/>
                <w:b/>
                <w:bCs/>
                <w:color w:val="74777A"/>
                <w:kern w:val="0"/>
                <w:sz w:val="18"/>
                <w:szCs w:val="18"/>
                <w14:ligatures w14:val="none"/>
              </w:rPr>
            </w:pPr>
            <w:r w:rsidRPr="00D71737">
              <w:rPr>
                <w:rFonts w:ascii="Helvetica" w:eastAsia="Times New Roman" w:hAnsi="Helvetica" w:cs="Helvetica"/>
                <w:b/>
                <w:bCs/>
                <w:color w:val="74777A"/>
                <w:kern w:val="0"/>
                <w:sz w:val="18"/>
                <w:szCs w:val="18"/>
                <w14:ligatures w14:val="none"/>
              </w:rPr>
              <w:t xml:space="preserve"> Standard 1 - Content Knowledge</w:t>
            </w:r>
          </w:p>
        </w:tc>
        <w:tc>
          <w:tcPr>
            <w:tcW w:w="0" w:type="auto"/>
            <w:hideMark/>
          </w:tcPr>
          <w:p w14:paraId="490752C0" w14:textId="77777777" w:rsidR="00D71737" w:rsidRPr="00D71737" w:rsidRDefault="00D71737" w:rsidP="00D71737">
            <w:pPr>
              <w:spacing w:line="240" w:lineRule="atLeast"/>
              <w:jc w:val="right"/>
              <w:rPr>
                <w:rFonts w:ascii="Helvetica" w:eastAsia="Times New Roman" w:hAnsi="Helvetica" w:cs="Helvetica"/>
                <w:b/>
                <w:bCs/>
                <w:color w:val="74777A"/>
                <w:kern w:val="0"/>
                <w:sz w:val="18"/>
                <w:szCs w:val="18"/>
                <w14:ligatures w14:val="none"/>
              </w:rPr>
            </w:pPr>
            <w:r w:rsidRPr="00D71737">
              <w:rPr>
                <w:rFonts w:ascii="Helvetica" w:eastAsia="Times New Roman" w:hAnsi="Helvetica" w:cs="Helvetica"/>
                <w:b/>
                <w:bCs/>
                <w:color w:val="74777A"/>
                <w:kern w:val="0"/>
                <w:sz w:val="18"/>
                <w:szCs w:val="18"/>
                <w14:ligatures w14:val="none"/>
              </w:rPr>
              <w:t>Percentage</w:t>
            </w:r>
          </w:p>
        </w:tc>
        <w:tc>
          <w:tcPr>
            <w:tcW w:w="0" w:type="auto"/>
            <w:hideMark/>
          </w:tcPr>
          <w:p w14:paraId="10AA541D" w14:textId="77777777" w:rsidR="00D71737" w:rsidRPr="00D71737" w:rsidRDefault="00D71737" w:rsidP="00D71737">
            <w:pPr>
              <w:spacing w:line="240" w:lineRule="atLeast"/>
              <w:jc w:val="right"/>
              <w:rPr>
                <w:rFonts w:ascii="Helvetica" w:eastAsia="Times New Roman" w:hAnsi="Helvetica" w:cs="Helvetica"/>
                <w:b/>
                <w:bCs/>
                <w:color w:val="74777A"/>
                <w:kern w:val="0"/>
                <w:sz w:val="18"/>
                <w:szCs w:val="18"/>
                <w14:ligatures w14:val="none"/>
              </w:rPr>
            </w:pPr>
            <w:r w:rsidRPr="00D71737">
              <w:rPr>
                <w:rFonts w:ascii="Helvetica" w:eastAsia="Times New Roman" w:hAnsi="Helvetica" w:cs="Helvetica"/>
                <w:b/>
                <w:bCs/>
                <w:color w:val="74777A"/>
                <w:kern w:val="0"/>
                <w:sz w:val="18"/>
                <w:szCs w:val="18"/>
                <w14:ligatures w14:val="none"/>
              </w:rPr>
              <w:t>Count</w:t>
            </w:r>
          </w:p>
        </w:tc>
      </w:tr>
      <w:tr w:rsidR="00D71737" w:rsidRPr="00D71737" w14:paraId="4F486FB1" w14:textId="77777777" w:rsidTr="00D71737">
        <w:trPr>
          <w:jc w:val="center"/>
        </w:trPr>
        <w:tc>
          <w:tcPr>
            <w:tcW w:w="0" w:type="auto"/>
            <w:hideMark/>
          </w:tcPr>
          <w:p w14:paraId="783706BC" w14:textId="77777777" w:rsidR="00D71737" w:rsidRPr="00D71737" w:rsidRDefault="00D71737" w:rsidP="00D71737">
            <w:pPr>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4 (Exceeding Candidate)</w:t>
            </w:r>
          </w:p>
        </w:tc>
        <w:tc>
          <w:tcPr>
            <w:tcW w:w="0" w:type="auto"/>
            <w:hideMark/>
          </w:tcPr>
          <w:p w14:paraId="720A5780"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40%</w:t>
            </w:r>
          </w:p>
        </w:tc>
        <w:tc>
          <w:tcPr>
            <w:tcW w:w="0" w:type="auto"/>
            <w:hideMark/>
          </w:tcPr>
          <w:p w14:paraId="11CBB76C"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6</w:t>
            </w:r>
          </w:p>
        </w:tc>
      </w:tr>
      <w:tr w:rsidR="00D71737" w:rsidRPr="00D71737" w14:paraId="50A6F2D8" w14:textId="77777777" w:rsidTr="00D71737">
        <w:trPr>
          <w:jc w:val="center"/>
        </w:trPr>
        <w:tc>
          <w:tcPr>
            <w:tcW w:w="0" w:type="auto"/>
            <w:hideMark/>
          </w:tcPr>
          <w:p w14:paraId="28F1C1C1" w14:textId="77777777" w:rsidR="00D71737" w:rsidRPr="00D71737" w:rsidRDefault="00D71737" w:rsidP="00D71737">
            <w:pPr>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3 (Skilled Candidate)</w:t>
            </w:r>
          </w:p>
        </w:tc>
        <w:tc>
          <w:tcPr>
            <w:tcW w:w="0" w:type="auto"/>
            <w:hideMark/>
          </w:tcPr>
          <w:p w14:paraId="5DA2C488"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47%</w:t>
            </w:r>
          </w:p>
        </w:tc>
        <w:tc>
          <w:tcPr>
            <w:tcW w:w="0" w:type="auto"/>
            <w:hideMark/>
          </w:tcPr>
          <w:p w14:paraId="485A70D2"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7</w:t>
            </w:r>
          </w:p>
        </w:tc>
      </w:tr>
      <w:tr w:rsidR="00D71737" w:rsidRPr="00D71737" w14:paraId="4EFCB35D" w14:textId="77777777" w:rsidTr="00D71737">
        <w:trPr>
          <w:jc w:val="center"/>
        </w:trPr>
        <w:tc>
          <w:tcPr>
            <w:tcW w:w="0" w:type="auto"/>
            <w:hideMark/>
          </w:tcPr>
          <w:p w14:paraId="2FBF180B" w14:textId="77777777" w:rsidR="00D71737" w:rsidRPr="00D71737" w:rsidRDefault="00D71737" w:rsidP="00D71737">
            <w:pPr>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2 (Developing Candidate)</w:t>
            </w:r>
          </w:p>
        </w:tc>
        <w:tc>
          <w:tcPr>
            <w:tcW w:w="0" w:type="auto"/>
            <w:hideMark/>
          </w:tcPr>
          <w:p w14:paraId="510A3417"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7%</w:t>
            </w:r>
          </w:p>
        </w:tc>
        <w:tc>
          <w:tcPr>
            <w:tcW w:w="0" w:type="auto"/>
            <w:hideMark/>
          </w:tcPr>
          <w:p w14:paraId="0F7D24E2"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1</w:t>
            </w:r>
          </w:p>
        </w:tc>
      </w:tr>
      <w:tr w:rsidR="00D71737" w:rsidRPr="00D71737" w14:paraId="6350D46B" w14:textId="77777777" w:rsidTr="00D71737">
        <w:trPr>
          <w:jc w:val="center"/>
        </w:trPr>
        <w:tc>
          <w:tcPr>
            <w:tcW w:w="0" w:type="auto"/>
            <w:hideMark/>
          </w:tcPr>
          <w:p w14:paraId="4F79D8A4" w14:textId="77777777" w:rsidR="00D71737" w:rsidRPr="00D71737" w:rsidRDefault="00D71737" w:rsidP="00D71737">
            <w:pPr>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I prefer not to share</w:t>
            </w:r>
          </w:p>
        </w:tc>
        <w:tc>
          <w:tcPr>
            <w:tcW w:w="0" w:type="auto"/>
            <w:hideMark/>
          </w:tcPr>
          <w:p w14:paraId="1078EDF6"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7%</w:t>
            </w:r>
          </w:p>
        </w:tc>
        <w:tc>
          <w:tcPr>
            <w:tcW w:w="0" w:type="auto"/>
            <w:hideMark/>
          </w:tcPr>
          <w:p w14:paraId="0A4DBCCE"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1</w:t>
            </w:r>
          </w:p>
        </w:tc>
      </w:tr>
    </w:tbl>
    <w:p w14:paraId="4064D190" w14:textId="2CBDFC4C" w:rsidR="00D71737" w:rsidRPr="00A649C5" w:rsidRDefault="00D71737" w:rsidP="00D71737">
      <w:pPr>
        <w:pStyle w:val="NormalWeb"/>
        <w:jc w:val="center"/>
        <w:rPr>
          <w:color w:val="000000"/>
          <w:highlight w:val="yellow"/>
        </w:rPr>
      </w:pPr>
      <w:r w:rsidRPr="00AC3206">
        <w:rPr>
          <w:noProof/>
        </w:rPr>
        <w:drawing>
          <wp:inline distT="0" distB="0" distL="0" distR="0" wp14:anchorId="0F84BC6A" wp14:editId="723CE8F3">
            <wp:extent cx="5943600" cy="1981200"/>
            <wp:effectExtent l="0" t="0" r="0" b="0"/>
            <wp:docPr id="14322293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98120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5117"/>
        <w:gridCol w:w="1187"/>
        <w:gridCol w:w="736"/>
      </w:tblGrid>
      <w:tr w:rsidR="00D71737" w:rsidRPr="00D71737" w14:paraId="6F85C412" w14:textId="77777777" w:rsidTr="00D71737">
        <w:trPr>
          <w:jc w:val="center"/>
        </w:trPr>
        <w:tc>
          <w:tcPr>
            <w:tcW w:w="0" w:type="auto"/>
            <w:hideMark/>
          </w:tcPr>
          <w:p w14:paraId="1CFAF5A2" w14:textId="65194477" w:rsidR="00D71737" w:rsidRPr="00D71737" w:rsidRDefault="00D71737" w:rsidP="00D71737">
            <w:pPr>
              <w:spacing w:line="240" w:lineRule="atLeast"/>
              <w:rPr>
                <w:rFonts w:ascii="Helvetica" w:eastAsia="Times New Roman" w:hAnsi="Helvetica" w:cs="Helvetica"/>
                <w:b/>
                <w:bCs/>
                <w:color w:val="74777A"/>
                <w:kern w:val="0"/>
                <w:sz w:val="18"/>
                <w:szCs w:val="18"/>
                <w14:ligatures w14:val="none"/>
              </w:rPr>
            </w:pPr>
            <w:r w:rsidRPr="00D71737">
              <w:rPr>
                <w:rFonts w:ascii="Helvetica" w:eastAsia="Times New Roman" w:hAnsi="Helvetica" w:cs="Helvetica"/>
                <w:b/>
                <w:bCs/>
                <w:color w:val="74777A"/>
                <w:kern w:val="0"/>
                <w:sz w:val="18"/>
                <w:szCs w:val="18"/>
                <w14:ligatures w14:val="none"/>
              </w:rPr>
              <w:t>Standard 2 - Student Learning, Growth, and Development</w:t>
            </w:r>
          </w:p>
        </w:tc>
        <w:tc>
          <w:tcPr>
            <w:tcW w:w="0" w:type="auto"/>
            <w:hideMark/>
          </w:tcPr>
          <w:p w14:paraId="46D1DFB9" w14:textId="77777777" w:rsidR="00D71737" w:rsidRPr="00D71737" w:rsidRDefault="00D71737" w:rsidP="00D71737">
            <w:pPr>
              <w:spacing w:line="240" w:lineRule="atLeast"/>
              <w:jc w:val="right"/>
              <w:rPr>
                <w:rFonts w:ascii="Helvetica" w:eastAsia="Times New Roman" w:hAnsi="Helvetica" w:cs="Helvetica"/>
                <w:b/>
                <w:bCs/>
                <w:color w:val="74777A"/>
                <w:kern w:val="0"/>
                <w:sz w:val="18"/>
                <w:szCs w:val="18"/>
                <w14:ligatures w14:val="none"/>
              </w:rPr>
            </w:pPr>
            <w:r w:rsidRPr="00D71737">
              <w:rPr>
                <w:rFonts w:ascii="Helvetica" w:eastAsia="Times New Roman" w:hAnsi="Helvetica" w:cs="Helvetica"/>
                <w:b/>
                <w:bCs/>
                <w:color w:val="74777A"/>
                <w:kern w:val="0"/>
                <w:sz w:val="18"/>
                <w:szCs w:val="18"/>
                <w14:ligatures w14:val="none"/>
              </w:rPr>
              <w:t>Percentage</w:t>
            </w:r>
          </w:p>
        </w:tc>
        <w:tc>
          <w:tcPr>
            <w:tcW w:w="0" w:type="auto"/>
            <w:hideMark/>
          </w:tcPr>
          <w:p w14:paraId="6C7C16DB" w14:textId="77777777" w:rsidR="00D71737" w:rsidRPr="00D71737" w:rsidRDefault="00D71737" w:rsidP="00D71737">
            <w:pPr>
              <w:spacing w:line="240" w:lineRule="atLeast"/>
              <w:jc w:val="right"/>
              <w:rPr>
                <w:rFonts w:ascii="Helvetica" w:eastAsia="Times New Roman" w:hAnsi="Helvetica" w:cs="Helvetica"/>
                <w:b/>
                <w:bCs/>
                <w:color w:val="74777A"/>
                <w:kern w:val="0"/>
                <w:sz w:val="18"/>
                <w:szCs w:val="18"/>
                <w14:ligatures w14:val="none"/>
              </w:rPr>
            </w:pPr>
            <w:r w:rsidRPr="00D71737">
              <w:rPr>
                <w:rFonts w:ascii="Helvetica" w:eastAsia="Times New Roman" w:hAnsi="Helvetica" w:cs="Helvetica"/>
                <w:b/>
                <w:bCs/>
                <w:color w:val="74777A"/>
                <w:kern w:val="0"/>
                <w:sz w:val="18"/>
                <w:szCs w:val="18"/>
                <w14:ligatures w14:val="none"/>
              </w:rPr>
              <w:t>Count</w:t>
            </w:r>
          </w:p>
        </w:tc>
      </w:tr>
      <w:tr w:rsidR="00D71737" w:rsidRPr="00D71737" w14:paraId="0C9CBE4D" w14:textId="77777777" w:rsidTr="00D71737">
        <w:trPr>
          <w:jc w:val="center"/>
        </w:trPr>
        <w:tc>
          <w:tcPr>
            <w:tcW w:w="0" w:type="auto"/>
            <w:hideMark/>
          </w:tcPr>
          <w:p w14:paraId="79BFD1C2" w14:textId="77777777" w:rsidR="00D71737" w:rsidRPr="00D71737" w:rsidRDefault="00D71737" w:rsidP="00D71737">
            <w:pPr>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4 (Exceeding Candidate)</w:t>
            </w:r>
          </w:p>
        </w:tc>
        <w:tc>
          <w:tcPr>
            <w:tcW w:w="0" w:type="auto"/>
            <w:hideMark/>
          </w:tcPr>
          <w:p w14:paraId="4EDEFCFB"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47%</w:t>
            </w:r>
          </w:p>
        </w:tc>
        <w:tc>
          <w:tcPr>
            <w:tcW w:w="0" w:type="auto"/>
            <w:hideMark/>
          </w:tcPr>
          <w:p w14:paraId="5B9C0C9D"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7</w:t>
            </w:r>
          </w:p>
        </w:tc>
      </w:tr>
      <w:tr w:rsidR="00D71737" w:rsidRPr="00D71737" w14:paraId="06389DAA" w14:textId="77777777" w:rsidTr="00D71737">
        <w:trPr>
          <w:jc w:val="center"/>
        </w:trPr>
        <w:tc>
          <w:tcPr>
            <w:tcW w:w="0" w:type="auto"/>
            <w:hideMark/>
          </w:tcPr>
          <w:p w14:paraId="743D4C96" w14:textId="77777777" w:rsidR="00D71737" w:rsidRPr="00D71737" w:rsidRDefault="00D71737" w:rsidP="00D71737">
            <w:pPr>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3 (Skilled Candidate)</w:t>
            </w:r>
          </w:p>
        </w:tc>
        <w:tc>
          <w:tcPr>
            <w:tcW w:w="0" w:type="auto"/>
            <w:hideMark/>
          </w:tcPr>
          <w:p w14:paraId="6EB014AB"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47%</w:t>
            </w:r>
          </w:p>
        </w:tc>
        <w:tc>
          <w:tcPr>
            <w:tcW w:w="0" w:type="auto"/>
            <w:hideMark/>
          </w:tcPr>
          <w:p w14:paraId="7415DFD3"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7</w:t>
            </w:r>
          </w:p>
        </w:tc>
      </w:tr>
      <w:tr w:rsidR="00D71737" w:rsidRPr="00D71737" w14:paraId="3EACC31B" w14:textId="77777777" w:rsidTr="00D71737">
        <w:trPr>
          <w:jc w:val="center"/>
        </w:trPr>
        <w:tc>
          <w:tcPr>
            <w:tcW w:w="0" w:type="auto"/>
            <w:hideMark/>
          </w:tcPr>
          <w:p w14:paraId="4505278C" w14:textId="77777777" w:rsidR="00D71737" w:rsidRPr="00D71737" w:rsidRDefault="00D71737" w:rsidP="00D71737">
            <w:pPr>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2 (Developing Candidate)</w:t>
            </w:r>
          </w:p>
        </w:tc>
        <w:tc>
          <w:tcPr>
            <w:tcW w:w="0" w:type="auto"/>
            <w:hideMark/>
          </w:tcPr>
          <w:p w14:paraId="71CB06D0"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7%</w:t>
            </w:r>
          </w:p>
        </w:tc>
        <w:tc>
          <w:tcPr>
            <w:tcW w:w="0" w:type="auto"/>
            <w:hideMark/>
          </w:tcPr>
          <w:p w14:paraId="14D15B6B"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1</w:t>
            </w:r>
          </w:p>
        </w:tc>
      </w:tr>
    </w:tbl>
    <w:p w14:paraId="6A44FDF2" w14:textId="73CF2B8A" w:rsidR="00F439CA" w:rsidRDefault="00F439CA" w:rsidP="00D71737">
      <w:pPr>
        <w:pStyle w:val="NormalWeb"/>
        <w:jc w:val="center"/>
        <w:rPr>
          <w:b/>
          <w:bCs/>
          <w:color w:val="000000"/>
        </w:rPr>
      </w:pPr>
      <w:r w:rsidRPr="00AC3206">
        <w:rPr>
          <w:noProof/>
        </w:rPr>
        <w:lastRenderedPageBreak/>
        <w:drawing>
          <wp:inline distT="0" distB="0" distL="0" distR="0" wp14:anchorId="6DC64C49" wp14:editId="6B696FCC">
            <wp:extent cx="5943600" cy="1981200"/>
            <wp:effectExtent l="0" t="0" r="0" b="0"/>
            <wp:docPr id="6637823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98120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3647"/>
        <w:gridCol w:w="1187"/>
        <w:gridCol w:w="736"/>
      </w:tblGrid>
      <w:tr w:rsidR="00D71737" w:rsidRPr="00D71737" w14:paraId="7B914267" w14:textId="77777777" w:rsidTr="00D71737">
        <w:trPr>
          <w:jc w:val="center"/>
        </w:trPr>
        <w:tc>
          <w:tcPr>
            <w:tcW w:w="0" w:type="auto"/>
            <w:hideMark/>
          </w:tcPr>
          <w:p w14:paraId="307F2E11" w14:textId="2D0431B9" w:rsidR="00D71737" w:rsidRPr="00D71737" w:rsidRDefault="00D71737" w:rsidP="00D71737">
            <w:pPr>
              <w:spacing w:line="240" w:lineRule="atLeast"/>
              <w:rPr>
                <w:rFonts w:ascii="Helvetica" w:eastAsia="Times New Roman" w:hAnsi="Helvetica" w:cs="Helvetica"/>
                <w:b/>
                <w:bCs/>
                <w:color w:val="74777A"/>
                <w:kern w:val="0"/>
                <w:sz w:val="18"/>
                <w:szCs w:val="18"/>
                <w14:ligatures w14:val="none"/>
              </w:rPr>
            </w:pPr>
            <w:r w:rsidRPr="00D71737">
              <w:rPr>
                <w:rFonts w:ascii="Helvetica" w:eastAsia="Times New Roman" w:hAnsi="Helvetica" w:cs="Helvetica"/>
                <w:b/>
                <w:bCs/>
                <w:color w:val="74777A"/>
                <w:kern w:val="0"/>
                <w:sz w:val="18"/>
                <w:szCs w:val="18"/>
                <w14:ligatures w14:val="none"/>
              </w:rPr>
              <w:t>Standard 3 - Curriculum Implementation</w:t>
            </w:r>
          </w:p>
        </w:tc>
        <w:tc>
          <w:tcPr>
            <w:tcW w:w="0" w:type="auto"/>
            <w:hideMark/>
          </w:tcPr>
          <w:p w14:paraId="016170BC" w14:textId="77777777" w:rsidR="00D71737" w:rsidRPr="00D71737" w:rsidRDefault="00D71737" w:rsidP="00D71737">
            <w:pPr>
              <w:spacing w:line="240" w:lineRule="atLeast"/>
              <w:jc w:val="right"/>
              <w:rPr>
                <w:rFonts w:ascii="Helvetica" w:eastAsia="Times New Roman" w:hAnsi="Helvetica" w:cs="Helvetica"/>
                <w:b/>
                <w:bCs/>
                <w:color w:val="74777A"/>
                <w:kern w:val="0"/>
                <w:sz w:val="18"/>
                <w:szCs w:val="18"/>
                <w14:ligatures w14:val="none"/>
              </w:rPr>
            </w:pPr>
            <w:r w:rsidRPr="00D71737">
              <w:rPr>
                <w:rFonts w:ascii="Helvetica" w:eastAsia="Times New Roman" w:hAnsi="Helvetica" w:cs="Helvetica"/>
                <w:b/>
                <w:bCs/>
                <w:color w:val="74777A"/>
                <w:kern w:val="0"/>
                <w:sz w:val="18"/>
                <w:szCs w:val="18"/>
                <w14:ligatures w14:val="none"/>
              </w:rPr>
              <w:t>Percentage</w:t>
            </w:r>
          </w:p>
        </w:tc>
        <w:tc>
          <w:tcPr>
            <w:tcW w:w="0" w:type="auto"/>
            <w:hideMark/>
          </w:tcPr>
          <w:p w14:paraId="20C9DF89" w14:textId="77777777" w:rsidR="00D71737" w:rsidRPr="00D71737" w:rsidRDefault="00D71737" w:rsidP="00D71737">
            <w:pPr>
              <w:spacing w:line="240" w:lineRule="atLeast"/>
              <w:jc w:val="right"/>
              <w:rPr>
                <w:rFonts w:ascii="Helvetica" w:eastAsia="Times New Roman" w:hAnsi="Helvetica" w:cs="Helvetica"/>
                <w:b/>
                <w:bCs/>
                <w:color w:val="74777A"/>
                <w:kern w:val="0"/>
                <w:sz w:val="18"/>
                <w:szCs w:val="18"/>
                <w14:ligatures w14:val="none"/>
              </w:rPr>
            </w:pPr>
            <w:r w:rsidRPr="00D71737">
              <w:rPr>
                <w:rFonts w:ascii="Helvetica" w:eastAsia="Times New Roman" w:hAnsi="Helvetica" w:cs="Helvetica"/>
                <w:b/>
                <w:bCs/>
                <w:color w:val="74777A"/>
                <w:kern w:val="0"/>
                <w:sz w:val="18"/>
                <w:szCs w:val="18"/>
                <w14:ligatures w14:val="none"/>
              </w:rPr>
              <w:t>Count</w:t>
            </w:r>
          </w:p>
        </w:tc>
      </w:tr>
      <w:tr w:rsidR="00D71737" w:rsidRPr="00D71737" w14:paraId="68555F0E" w14:textId="77777777" w:rsidTr="00D71737">
        <w:trPr>
          <w:jc w:val="center"/>
        </w:trPr>
        <w:tc>
          <w:tcPr>
            <w:tcW w:w="0" w:type="auto"/>
            <w:hideMark/>
          </w:tcPr>
          <w:p w14:paraId="0EAD5162" w14:textId="77777777" w:rsidR="00D71737" w:rsidRPr="00D71737" w:rsidRDefault="00D71737" w:rsidP="00D71737">
            <w:pPr>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4 (Exceeding Candidate)</w:t>
            </w:r>
          </w:p>
        </w:tc>
        <w:tc>
          <w:tcPr>
            <w:tcW w:w="0" w:type="auto"/>
            <w:hideMark/>
          </w:tcPr>
          <w:p w14:paraId="2A17E44F"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47%</w:t>
            </w:r>
          </w:p>
        </w:tc>
        <w:tc>
          <w:tcPr>
            <w:tcW w:w="0" w:type="auto"/>
            <w:hideMark/>
          </w:tcPr>
          <w:p w14:paraId="719E7E04"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7</w:t>
            </w:r>
          </w:p>
        </w:tc>
      </w:tr>
      <w:tr w:rsidR="00D71737" w:rsidRPr="00D71737" w14:paraId="7EC9942D" w14:textId="77777777" w:rsidTr="00D71737">
        <w:trPr>
          <w:jc w:val="center"/>
        </w:trPr>
        <w:tc>
          <w:tcPr>
            <w:tcW w:w="0" w:type="auto"/>
            <w:hideMark/>
          </w:tcPr>
          <w:p w14:paraId="2E2C82D0" w14:textId="77777777" w:rsidR="00D71737" w:rsidRPr="00D71737" w:rsidRDefault="00D71737" w:rsidP="00D71737">
            <w:pPr>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3 (Skilled Candidate)</w:t>
            </w:r>
          </w:p>
        </w:tc>
        <w:tc>
          <w:tcPr>
            <w:tcW w:w="0" w:type="auto"/>
            <w:hideMark/>
          </w:tcPr>
          <w:p w14:paraId="7CA34086"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47%</w:t>
            </w:r>
          </w:p>
        </w:tc>
        <w:tc>
          <w:tcPr>
            <w:tcW w:w="0" w:type="auto"/>
            <w:hideMark/>
          </w:tcPr>
          <w:p w14:paraId="1DEF4227"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7</w:t>
            </w:r>
          </w:p>
        </w:tc>
      </w:tr>
      <w:tr w:rsidR="00D71737" w:rsidRPr="00D71737" w14:paraId="3CA302FE" w14:textId="77777777" w:rsidTr="00D71737">
        <w:trPr>
          <w:jc w:val="center"/>
        </w:trPr>
        <w:tc>
          <w:tcPr>
            <w:tcW w:w="0" w:type="auto"/>
            <w:hideMark/>
          </w:tcPr>
          <w:p w14:paraId="16468387" w14:textId="77777777" w:rsidR="00D71737" w:rsidRPr="00D71737" w:rsidRDefault="00D71737" w:rsidP="00D71737">
            <w:pPr>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2 (Developing Candidate)</w:t>
            </w:r>
          </w:p>
        </w:tc>
        <w:tc>
          <w:tcPr>
            <w:tcW w:w="0" w:type="auto"/>
            <w:hideMark/>
          </w:tcPr>
          <w:p w14:paraId="2A308B37"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7%</w:t>
            </w:r>
          </w:p>
        </w:tc>
        <w:tc>
          <w:tcPr>
            <w:tcW w:w="0" w:type="auto"/>
            <w:hideMark/>
          </w:tcPr>
          <w:p w14:paraId="23598729"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1</w:t>
            </w:r>
          </w:p>
        </w:tc>
      </w:tr>
    </w:tbl>
    <w:p w14:paraId="119BA5B7" w14:textId="3D4CD1A0" w:rsidR="00D71737" w:rsidRDefault="00D71737" w:rsidP="00D71737">
      <w:pPr>
        <w:pStyle w:val="NormalWeb"/>
        <w:jc w:val="center"/>
        <w:rPr>
          <w:b/>
          <w:bCs/>
          <w:color w:val="000000"/>
        </w:rPr>
      </w:pPr>
      <w:r w:rsidRPr="00AC3206">
        <w:rPr>
          <w:noProof/>
        </w:rPr>
        <w:drawing>
          <wp:inline distT="0" distB="0" distL="0" distR="0" wp14:anchorId="4712C948" wp14:editId="36C0A70C">
            <wp:extent cx="5943600" cy="1981200"/>
            <wp:effectExtent l="0" t="0" r="0" b="0"/>
            <wp:docPr id="15795711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98120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717"/>
        <w:gridCol w:w="1187"/>
        <w:gridCol w:w="736"/>
      </w:tblGrid>
      <w:tr w:rsidR="00D71737" w:rsidRPr="00D71737" w14:paraId="64E67AD9" w14:textId="77777777" w:rsidTr="00D71737">
        <w:trPr>
          <w:jc w:val="center"/>
        </w:trPr>
        <w:tc>
          <w:tcPr>
            <w:tcW w:w="0" w:type="auto"/>
            <w:hideMark/>
          </w:tcPr>
          <w:p w14:paraId="259A5465" w14:textId="4E550677" w:rsidR="00D71737" w:rsidRPr="00D71737" w:rsidRDefault="00D71737" w:rsidP="00D71737">
            <w:pPr>
              <w:spacing w:line="240" w:lineRule="atLeast"/>
              <w:rPr>
                <w:rFonts w:ascii="Helvetica" w:eastAsia="Times New Roman" w:hAnsi="Helvetica" w:cs="Helvetica"/>
                <w:b/>
                <w:bCs/>
                <w:color w:val="74777A"/>
                <w:kern w:val="0"/>
                <w:sz w:val="18"/>
                <w:szCs w:val="18"/>
                <w14:ligatures w14:val="none"/>
              </w:rPr>
            </w:pPr>
            <w:r w:rsidRPr="00D71737">
              <w:rPr>
                <w:rFonts w:ascii="Helvetica" w:eastAsia="Times New Roman" w:hAnsi="Helvetica" w:cs="Helvetica"/>
                <w:b/>
                <w:bCs/>
                <w:color w:val="74777A"/>
                <w:kern w:val="0"/>
                <w:sz w:val="18"/>
                <w:szCs w:val="18"/>
                <w14:ligatures w14:val="none"/>
              </w:rPr>
              <w:t>Standard 4 - Critical Thinking</w:t>
            </w:r>
          </w:p>
        </w:tc>
        <w:tc>
          <w:tcPr>
            <w:tcW w:w="0" w:type="auto"/>
            <w:hideMark/>
          </w:tcPr>
          <w:p w14:paraId="3B17F348" w14:textId="77777777" w:rsidR="00D71737" w:rsidRPr="00D71737" w:rsidRDefault="00D71737" w:rsidP="00D71737">
            <w:pPr>
              <w:spacing w:line="240" w:lineRule="atLeast"/>
              <w:jc w:val="right"/>
              <w:rPr>
                <w:rFonts w:ascii="Helvetica" w:eastAsia="Times New Roman" w:hAnsi="Helvetica" w:cs="Helvetica"/>
                <w:b/>
                <w:bCs/>
                <w:color w:val="74777A"/>
                <w:kern w:val="0"/>
                <w:sz w:val="18"/>
                <w:szCs w:val="18"/>
                <w14:ligatures w14:val="none"/>
              </w:rPr>
            </w:pPr>
            <w:r w:rsidRPr="00D71737">
              <w:rPr>
                <w:rFonts w:ascii="Helvetica" w:eastAsia="Times New Roman" w:hAnsi="Helvetica" w:cs="Helvetica"/>
                <w:b/>
                <w:bCs/>
                <w:color w:val="74777A"/>
                <w:kern w:val="0"/>
                <w:sz w:val="18"/>
                <w:szCs w:val="18"/>
                <w14:ligatures w14:val="none"/>
              </w:rPr>
              <w:t>Percentage</w:t>
            </w:r>
          </w:p>
        </w:tc>
        <w:tc>
          <w:tcPr>
            <w:tcW w:w="0" w:type="auto"/>
            <w:hideMark/>
          </w:tcPr>
          <w:p w14:paraId="54ABFBC4" w14:textId="77777777" w:rsidR="00D71737" w:rsidRPr="00D71737" w:rsidRDefault="00D71737" w:rsidP="00D71737">
            <w:pPr>
              <w:spacing w:line="240" w:lineRule="atLeast"/>
              <w:jc w:val="right"/>
              <w:rPr>
                <w:rFonts w:ascii="Helvetica" w:eastAsia="Times New Roman" w:hAnsi="Helvetica" w:cs="Helvetica"/>
                <w:b/>
                <w:bCs/>
                <w:color w:val="74777A"/>
                <w:kern w:val="0"/>
                <w:sz w:val="18"/>
                <w:szCs w:val="18"/>
                <w14:ligatures w14:val="none"/>
              </w:rPr>
            </w:pPr>
            <w:r w:rsidRPr="00D71737">
              <w:rPr>
                <w:rFonts w:ascii="Helvetica" w:eastAsia="Times New Roman" w:hAnsi="Helvetica" w:cs="Helvetica"/>
                <w:b/>
                <w:bCs/>
                <w:color w:val="74777A"/>
                <w:kern w:val="0"/>
                <w:sz w:val="18"/>
                <w:szCs w:val="18"/>
                <w14:ligatures w14:val="none"/>
              </w:rPr>
              <w:t>Count</w:t>
            </w:r>
          </w:p>
        </w:tc>
      </w:tr>
      <w:tr w:rsidR="00D71737" w:rsidRPr="00D71737" w14:paraId="42DED64C" w14:textId="77777777" w:rsidTr="00D71737">
        <w:trPr>
          <w:jc w:val="center"/>
        </w:trPr>
        <w:tc>
          <w:tcPr>
            <w:tcW w:w="0" w:type="auto"/>
            <w:hideMark/>
          </w:tcPr>
          <w:p w14:paraId="7903BF34" w14:textId="77777777" w:rsidR="00D71737" w:rsidRPr="00D71737" w:rsidRDefault="00D71737" w:rsidP="00D71737">
            <w:pPr>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4 (Exceeding Candidate)</w:t>
            </w:r>
          </w:p>
        </w:tc>
        <w:tc>
          <w:tcPr>
            <w:tcW w:w="0" w:type="auto"/>
            <w:hideMark/>
          </w:tcPr>
          <w:p w14:paraId="1FCB2F12"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50%</w:t>
            </w:r>
          </w:p>
        </w:tc>
        <w:tc>
          <w:tcPr>
            <w:tcW w:w="0" w:type="auto"/>
            <w:hideMark/>
          </w:tcPr>
          <w:p w14:paraId="50D97EB5"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7</w:t>
            </w:r>
          </w:p>
        </w:tc>
      </w:tr>
      <w:tr w:rsidR="00D71737" w:rsidRPr="00D71737" w14:paraId="2EA3CA99" w14:textId="77777777" w:rsidTr="00D71737">
        <w:trPr>
          <w:jc w:val="center"/>
        </w:trPr>
        <w:tc>
          <w:tcPr>
            <w:tcW w:w="0" w:type="auto"/>
            <w:hideMark/>
          </w:tcPr>
          <w:p w14:paraId="79CFF4B4" w14:textId="77777777" w:rsidR="00D71737" w:rsidRPr="00D71737" w:rsidRDefault="00D71737" w:rsidP="00D71737">
            <w:pPr>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3 (Skilled Candidate)</w:t>
            </w:r>
          </w:p>
        </w:tc>
        <w:tc>
          <w:tcPr>
            <w:tcW w:w="0" w:type="auto"/>
            <w:hideMark/>
          </w:tcPr>
          <w:p w14:paraId="39EB8817"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43%</w:t>
            </w:r>
          </w:p>
        </w:tc>
        <w:tc>
          <w:tcPr>
            <w:tcW w:w="0" w:type="auto"/>
            <w:hideMark/>
          </w:tcPr>
          <w:p w14:paraId="1BD0A702"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6</w:t>
            </w:r>
          </w:p>
        </w:tc>
      </w:tr>
      <w:tr w:rsidR="00D71737" w:rsidRPr="00D71737" w14:paraId="47957FC3" w14:textId="77777777" w:rsidTr="00D71737">
        <w:trPr>
          <w:jc w:val="center"/>
        </w:trPr>
        <w:tc>
          <w:tcPr>
            <w:tcW w:w="0" w:type="auto"/>
            <w:hideMark/>
          </w:tcPr>
          <w:p w14:paraId="5CA02560" w14:textId="77777777" w:rsidR="00D71737" w:rsidRPr="00D71737" w:rsidRDefault="00D71737" w:rsidP="00D71737">
            <w:pPr>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lastRenderedPageBreak/>
              <w:t>2 (Developing Candidate)</w:t>
            </w:r>
          </w:p>
        </w:tc>
        <w:tc>
          <w:tcPr>
            <w:tcW w:w="0" w:type="auto"/>
            <w:hideMark/>
          </w:tcPr>
          <w:p w14:paraId="06C6ACE5"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7%</w:t>
            </w:r>
          </w:p>
        </w:tc>
        <w:tc>
          <w:tcPr>
            <w:tcW w:w="0" w:type="auto"/>
            <w:hideMark/>
          </w:tcPr>
          <w:p w14:paraId="0EE37894" w14:textId="77777777" w:rsidR="00D71737" w:rsidRPr="00D71737" w:rsidRDefault="00D71737" w:rsidP="00D71737">
            <w:pPr>
              <w:jc w:val="right"/>
              <w:rPr>
                <w:rFonts w:ascii="Helvetica" w:eastAsia="Times New Roman" w:hAnsi="Helvetica" w:cs="Helvetica"/>
                <w:color w:val="32363A"/>
                <w:kern w:val="0"/>
                <w:sz w:val="21"/>
                <w:szCs w:val="21"/>
                <w14:ligatures w14:val="none"/>
              </w:rPr>
            </w:pPr>
            <w:r w:rsidRPr="00D71737">
              <w:rPr>
                <w:rFonts w:ascii="Helvetica" w:eastAsia="Times New Roman" w:hAnsi="Helvetica" w:cs="Helvetica"/>
                <w:color w:val="32363A"/>
                <w:kern w:val="0"/>
                <w:sz w:val="21"/>
                <w:szCs w:val="21"/>
                <w14:ligatures w14:val="none"/>
              </w:rPr>
              <w:t>1</w:t>
            </w:r>
          </w:p>
        </w:tc>
      </w:tr>
    </w:tbl>
    <w:p w14:paraId="2ED70520" w14:textId="09EC677B" w:rsidR="00F439CA" w:rsidRDefault="00F439CA" w:rsidP="00B8535C">
      <w:pPr>
        <w:pStyle w:val="NormalWeb"/>
        <w:jc w:val="center"/>
        <w:rPr>
          <w:b/>
          <w:bCs/>
          <w:color w:val="000000"/>
        </w:rPr>
      </w:pPr>
      <w:r w:rsidRPr="00AC3206">
        <w:rPr>
          <w:noProof/>
        </w:rPr>
        <w:drawing>
          <wp:inline distT="0" distB="0" distL="0" distR="0" wp14:anchorId="4D4A9EC4" wp14:editId="42B9B12D">
            <wp:extent cx="5943600" cy="1981200"/>
            <wp:effectExtent l="0" t="0" r="0" b="0"/>
            <wp:docPr id="6120189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98120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4127"/>
        <w:gridCol w:w="1187"/>
        <w:gridCol w:w="736"/>
      </w:tblGrid>
      <w:tr w:rsidR="00B8535C" w:rsidRPr="00B8535C" w14:paraId="2C57D4F2" w14:textId="77777777" w:rsidTr="00B8535C">
        <w:trPr>
          <w:jc w:val="center"/>
        </w:trPr>
        <w:tc>
          <w:tcPr>
            <w:tcW w:w="0" w:type="auto"/>
            <w:hideMark/>
          </w:tcPr>
          <w:p w14:paraId="54F68500" w14:textId="0D8124EE" w:rsidR="00B8535C" w:rsidRPr="00B8535C" w:rsidRDefault="00B8535C" w:rsidP="00B8535C">
            <w:pPr>
              <w:spacing w:line="240" w:lineRule="atLeast"/>
              <w:rPr>
                <w:rFonts w:ascii="Helvetica" w:eastAsia="Times New Roman" w:hAnsi="Helvetica" w:cs="Helvetica"/>
                <w:b/>
                <w:bCs/>
                <w:color w:val="74777A"/>
                <w:kern w:val="0"/>
                <w:sz w:val="18"/>
                <w:szCs w:val="18"/>
                <w14:ligatures w14:val="none"/>
              </w:rPr>
            </w:pPr>
            <w:r w:rsidRPr="00B8535C">
              <w:rPr>
                <w:rFonts w:ascii="Helvetica" w:eastAsia="Times New Roman" w:hAnsi="Helvetica" w:cs="Helvetica"/>
                <w:b/>
                <w:bCs/>
                <w:color w:val="74777A"/>
                <w:kern w:val="0"/>
                <w:sz w:val="18"/>
                <w:szCs w:val="18"/>
                <w14:ligatures w14:val="none"/>
              </w:rPr>
              <w:t>Standard 5 - Positive Classroom Environment</w:t>
            </w:r>
          </w:p>
        </w:tc>
        <w:tc>
          <w:tcPr>
            <w:tcW w:w="0" w:type="auto"/>
            <w:hideMark/>
          </w:tcPr>
          <w:p w14:paraId="46745B4C" w14:textId="77777777" w:rsidR="00B8535C" w:rsidRPr="00B8535C" w:rsidRDefault="00B8535C" w:rsidP="00B8535C">
            <w:pPr>
              <w:spacing w:line="240" w:lineRule="atLeast"/>
              <w:jc w:val="right"/>
              <w:rPr>
                <w:rFonts w:ascii="Helvetica" w:eastAsia="Times New Roman" w:hAnsi="Helvetica" w:cs="Helvetica"/>
                <w:b/>
                <w:bCs/>
                <w:color w:val="74777A"/>
                <w:kern w:val="0"/>
                <w:sz w:val="18"/>
                <w:szCs w:val="18"/>
                <w14:ligatures w14:val="none"/>
              </w:rPr>
            </w:pPr>
            <w:r w:rsidRPr="00B8535C">
              <w:rPr>
                <w:rFonts w:ascii="Helvetica" w:eastAsia="Times New Roman" w:hAnsi="Helvetica" w:cs="Helvetica"/>
                <w:b/>
                <w:bCs/>
                <w:color w:val="74777A"/>
                <w:kern w:val="0"/>
                <w:sz w:val="18"/>
                <w:szCs w:val="18"/>
                <w14:ligatures w14:val="none"/>
              </w:rPr>
              <w:t>Percentage</w:t>
            </w:r>
          </w:p>
        </w:tc>
        <w:tc>
          <w:tcPr>
            <w:tcW w:w="0" w:type="auto"/>
            <w:hideMark/>
          </w:tcPr>
          <w:p w14:paraId="28D27178" w14:textId="77777777" w:rsidR="00B8535C" w:rsidRPr="00B8535C" w:rsidRDefault="00B8535C" w:rsidP="00B8535C">
            <w:pPr>
              <w:spacing w:line="240" w:lineRule="atLeast"/>
              <w:jc w:val="right"/>
              <w:rPr>
                <w:rFonts w:ascii="Helvetica" w:eastAsia="Times New Roman" w:hAnsi="Helvetica" w:cs="Helvetica"/>
                <w:b/>
                <w:bCs/>
                <w:color w:val="74777A"/>
                <w:kern w:val="0"/>
                <w:sz w:val="18"/>
                <w:szCs w:val="18"/>
                <w14:ligatures w14:val="none"/>
              </w:rPr>
            </w:pPr>
            <w:r w:rsidRPr="00B8535C">
              <w:rPr>
                <w:rFonts w:ascii="Helvetica" w:eastAsia="Times New Roman" w:hAnsi="Helvetica" w:cs="Helvetica"/>
                <w:b/>
                <w:bCs/>
                <w:color w:val="74777A"/>
                <w:kern w:val="0"/>
                <w:sz w:val="18"/>
                <w:szCs w:val="18"/>
                <w14:ligatures w14:val="none"/>
              </w:rPr>
              <w:t>Count</w:t>
            </w:r>
          </w:p>
        </w:tc>
      </w:tr>
      <w:tr w:rsidR="00B8535C" w:rsidRPr="00B8535C" w14:paraId="747765E6" w14:textId="77777777" w:rsidTr="00B8535C">
        <w:trPr>
          <w:jc w:val="center"/>
        </w:trPr>
        <w:tc>
          <w:tcPr>
            <w:tcW w:w="0" w:type="auto"/>
            <w:hideMark/>
          </w:tcPr>
          <w:p w14:paraId="40912546" w14:textId="77777777" w:rsidR="00B8535C" w:rsidRPr="00B8535C" w:rsidRDefault="00B8535C" w:rsidP="00B8535C">
            <w:pPr>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4 (Exceeding Candidate)</w:t>
            </w:r>
          </w:p>
        </w:tc>
        <w:tc>
          <w:tcPr>
            <w:tcW w:w="0" w:type="auto"/>
            <w:hideMark/>
          </w:tcPr>
          <w:p w14:paraId="1B4FD4B6"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67%</w:t>
            </w:r>
          </w:p>
        </w:tc>
        <w:tc>
          <w:tcPr>
            <w:tcW w:w="0" w:type="auto"/>
            <w:hideMark/>
          </w:tcPr>
          <w:p w14:paraId="609FFB45"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10</w:t>
            </w:r>
          </w:p>
        </w:tc>
      </w:tr>
      <w:tr w:rsidR="00B8535C" w:rsidRPr="00B8535C" w14:paraId="5D30148E" w14:textId="77777777" w:rsidTr="00B8535C">
        <w:trPr>
          <w:jc w:val="center"/>
        </w:trPr>
        <w:tc>
          <w:tcPr>
            <w:tcW w:w="0" w:type="auto"/>
            <w:hideMark/>
          </w:tcPr>
          <w:p w14:paraId="238D0E9C" w14:textId="77777777" w:rsidR="00B8535C" w:rsidRPr="00B8535C" w:rsidRDefault="00B8535C" w:rsidP="00B8535C">
            <w:pPr>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3 (Skilled Candidate)</w:t>
            </w:r>
          </w:p>
        </w:tc>
        <w:tc>
          <w:tcPr>
            <w:tcW w:w="0" w:type="auto"/>
            <w:hideMark/>
          </w:tcPr>
          <w:p w14:paraId="7576396E"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27%</w:t>
            </w:r>
          </w:p>
        </w:tc>
        <w:tc>
          <w:tcPr>
            <w:tcW w:w="0" w:type="auto"/>
            <w:hideMark/>
          </w:tcPr>
          <w:p w14:paraId="53862B18"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4</w:t>
            </w:r>
          </w:p>
        </w:tc>
      </w:tr>
      <w:tr w:rsidR="00B8535C" w:rsidRPr="00B8535C" w14:paraId="7624D433" w14:textId="77777777" w:rsidTr="00B8535C">
        <w:trPr>
          <w:jc w:val="center"/>
        </w:trPr>
        <w:tc>
          <w:tcPr>
            <w:tcW w:w="0" w:type="auto"/>
            <w:hideMark/>
          </w:tcPr>
          <w:p w14:paraId="18916773" w14:textId="77777777" w:rsidR="00B8535C" w:rsidRPr="00B8535C" w:rsidRDefault="00B8535C" w:rsidP="00B8535C">
            <w:pPr>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2 (Developing Candidate)</w:t>
            </w:r>
          </w:p>
        </w:tc>
        <w:tc>
          <w:tcPr>
            <w:tcW w:w="0" w:type="auto"/>
            <w:hideMark/>
          </w:tcPr>
          <w:p w14:paraId="1D3A74C8"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7%</w:t>
            </w:r>
          </w:p>
        </w:tc>
        <w:tc>
          <w:tcPr>
            <w:tcW w:w="0" w:type="auto"/>
            <w:hideMark/>
          </w:tcPr>
          <w:p w14:paraId="669ED380"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1</w:t>
            </w:r>
          </w:p>
        </w:tc>
      </w:tr>
    </w:tbl>
    <w:p w14:paraId="05355C76" w14:textId="77777777" w:rsidR="00B8535C" w:rsidRDefault="00B8535C" w:rsidP="00222E5C">
      <w:pPr>
        <w:pStyle w:val="NormalWeb"/>
        <w:rPr>
          <w:b/>
          <w:bCs/>
          <w:color w:val="000000"/>
        </w:rPr>
      </w:pPr>
    </w:p>
    <w:p w14:paraId="355DFB28" w14:textId="71790FFC" w:rsidR="00F439CA" w:rsidRDefault="00F439CA" w:rsidP="00B8535C">
      <w:pPr>
        <w:pStyle w:val="NormalWeb"/>
        <w:jc w:val="center"/>
        <w:rPr>
          <w:b/>
          <w:bCs/>
          <w:color w:val="000000"/>
        </w:rPr>
      </w:pPr>
      <w:r w:rsidRPr="00AC3206">
        <w:rPr>
          <w:noProof/>
        </w:rPr>
        <w:drawing>
          <wp:inline distT="0" distB="0" distL="0" distR="0" wp14:anchorId="4C672A50" wp14:editId="2CCF0AF7">
            <wp:extent cx="5943600" cy="1981200"/>
            <wp:effectExtent l="0" t="0" r="0" b="0"/>
            <wp:docPr id="77037575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98120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3467"/>
        <w:gridCol w:w="1187"/>
        <w:gridCol w:w="736"/>
      </w:tblGrid>
      <w:tr w:rsidR="00B8535C" w:rsidRPr="00B8535C" w14:paraId="08942A73" w14:textId="77777777" w:rsidTr="00B8535C">
        <w:trPr>
          <w:jc w:val="center"/>
        </w:trPr>
        <w:tc>
          <w:tcPr>
            <w:tcW w:w="0" w:type="auto"/>
            <w:hideMark/>
          </w:tcPr>
          <w:p w14:paraId="7057CD36" w14:textId="7702D61A" w:rsidR="00B8535C" w:rsidRPr="00B8535C" w:rsidRDefault="00B8535C" w:rsidP="00B8535C">
            <w:pPr>
              <w:spacing w:line="240" w:lineRule="atLeast"/>
              <w:rPr>
                <w:rFonts w:ascii="Helvetica" w:eastAsia="Times New Roman" w:hAnsi="Helvetica" w:cs="Helvetica"/>
                <w:b/>
                <w:bCs/>
                <w:color w:val="74777A"/>
                <w:kern w:val="0"/>
                <w:sz w:val="18"/>
                <w:szCs w:val="18"/>
                <w14:ligatures w14:val="none"/>
              </w:rPr>
            </w:pPr>
            <w:r w:rsidRPr="00B8535C">
              <w:rPr>
                <w:rFonts w:ascii="Helvetica" w:eastAsia="Times New Roman" w:hAnsi="Helvetica" w:cs="Helvetica"/>
                <w:b/>
                <w:bCs/>
                <w:color w:val="74777A"/>
                <w:kern w:val="0"/>
                <w:sz w:val="18"/>
                <w:szCs w:val="18"/>
                <w14:ligatures w14:val="none"/>
              </w:rPr>
              <w:lastRenderedPageBreak/>
              <w:t>Standard 6 - Effective Communication</w:t>
            </w:r>
          </w:p>
        </w:tc>
        <w:tc>
          <w:tcPr>
            <w:tcW w:w="0" w:type="auto"/>
            <w:hideMark/>
          </w:tcPr>
          <w:p w14:paraId="0966C9A2" w14:textId="54E75CDA" w:rsidR="00B8535C" w:rsidRPr="00B8535C" w:rsidRDefault="00B8535C" w:rsidP="00B8535C">
            <w:pPr>
              <w:spacing w:line="240" w:lineRule="atLeast"/>
              <w:rPr>
                <w:rFonts w:ascii="Helvetica" w:eastAsia="Times New Roman" w:hAnsi="Helvetica" w:cs="Helvetica"/>
                <w:b/>
                <w:bCs/>
                <w:color w:val="74777A"/>
                <w:kern w:val="0"/>
                <w:sz w:val="18"/>
                <w:szCs w:val="18"/>
                <w14:ligatures w14:val="none"/>
              </w:rPr>
            </w:pPr>
            <w:r w:rsidRPr="00B8535C">
              <w:rPr>
                <w:rFonts w:ascii="Helvetica" w:eastAsia="Times New Roman" w:hAnsi="Helvetica" w:cs="Helvetica"/>
                <w:b/>
                <w:bCs/>
                <w:color w:val="74777A"/>
                <w:kern w:val="0"/>
                <w:sz w:val="18"/>
                <w:szCs w:val="18"/>
                <w14:ligatures w14:val="none"/>
              </w:rPr>
              <w:t>Percentage</w:t>
            </w:r>
          </w:p>
        </w:tc>
        <w:tc>
          <w:tcPr>
            <w:tcW w:w="0" w:type="auto"/>
            <w:hideMark/>
          </w:tcPr>
          <w:p w14:paraId="2E081ED9" w14:textId="51B11FA6" w:rsidR="00B8535C" w:rsidRPr="00B8535C" w:rsidRDefault="00B8535C" w:rsidP="00B8535C">
            <w:pPr>
              <w:spacing w:line="240" w:lineRule="atLeast"/>
              <w:rPr>
                <w:rFonts w:ascii="Helvetica" w:eastAsia="Times New Roman" w:hAnsi="Helvetica" w:cs="Helvetica"/>
                <w:b/>
                <w:bCs/>
                <w:color w:val="74777A"/>
                <w:kern w:val="0"/>
                <w:sz w:val="18"/>
                <w:szCs w:val="18"/>
                <w14:ligatures w14:val="none"/>
              </w:rPr>
            </w:pPr>
            <w:r w:rsidRPr="00B8535C">
              <w:rPr>
                <w:rFonts w:ascii="Helvetica" w:eastAsia="Times New Roman" w:hAnsi="Helvetica" w:cs="Helvetica"/>
                <w:b/>
                <w:bCs/>
                <w:color w:val="74777A"/>
                <w:kern w:val="0"/>
                <w:sz w:val="18"/>
                <w:szCs w:val="18"/>
                <w14:ligatures w14:val="none"/>
              </w:rPr>
              <w:t>Count</w:t>
            </w:r>
          </w:p>
        </w:tc>
      </w:tr>
      <w:tr w:rsidR="00B8535C" w:rsidRPr="00B8535C" w14:paraId="449B1FF9" w14:textId="77777777" w:rsidTr="00B8535C">
        <w:trPr>
          <w:jc w:val="center"/>
        </w:trPr>
        <w:tc>
          <w:tcPr>
            <w:tcW w:w="0" w:type="auto"/>
            <w:hideMark/>
          </w:tcPr>
          <w:p w14:paraId="372D396C" w14:textId="77777777" w:rsidR="00B8535C" w:rsidRPr="00B8535C" w:rsidRDefault="00B8535C" w:rsidP="00B8535C">
            <w:pPr>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4 (Exceeding Candidate)</w:t>
            </w:r>
          </w:p>
        </w:tc>
        <w:tc>
          <w:tcPr>
            <w:tcW w:w="0" w:type="auto"/>
            <w:hideMark/>
          </w:tcPr>
          <w:p w14:paraId="5D00AE30"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53%</w:t>
            </w:r>
          </w:p>
        </w:tc>
        <w:tc>
          <w:tcPr>
            <w:tcW w:w="0" w:type="auto"/>
            <w:hideMark/>
          </w:tcPr>
          <w:p w14:paraId="7E274BFD"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8</w:t>
            </w:r>
          </w:p>
        </w:tc>
      </w:tr>
      <w:tr w:rsidR="00B8535C" w:rsidRPr="00B8535C" w14:paraId="555137A2" w14:textId="77777777" w:rsidTr="00B8535C">
        <w:trPr>
          <w:jc w:val="center"/>
        </w:trPr>
        <w:tc>
          <w:tcPr>
            <w:tcW w:w="0" w:type="auto"/>
            <w:hideMark/>
          </w:tcPr>
          <w:p w14:paraId="0E265F10" w14:textId="77777777" w:rsidR="00B8535C" w:rsidRPr="00B8535C" w:rsidRDefault="00B8535C" w:rsidP="00B8535C">
            <w:pPr>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3 (Skilled Candidate)</w:t>
            </w:r>
          </w:p>
        </w:tc>
        <w:tc>
          <w:tcPr>
            <w:tcW w:w="0" w:type="auto"/>
            <w:hideMark/>
          </w:tcPr>
          <w:p w14:paraId="7119A6DA"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33%</w:t>
            </w:r>
          </w:p>
        </w:tc>
        <w:tc>
          <w:tcPr>
            <w:tcW w:w="0" w:type="auto"/>
            <w:hideMark/>
          </w:tcPr>
          <w:p w14:paraId="0022E253"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5</w:t>
            </w:r>
          </w:p>
        </w:tc>
      </w:tr>
      <w:tr w:rsidR="00B8535C" w:rsidRPr="00B8535C" w14:paraId="369F83A1" w14:textId="77777777" w:rsidTr="00B8535C">
        <w:trPr>
          <w:jc w:val="center"/>
        </w:trPr>
        <w:tc>
          <w:tcPr>
            <w:tcW w:w="0" w:type="auto"/>
            <w:hideMark/>
          </w:tcPr>
          <w:p w14:paraId="27D02582" w14:textId="77777777" w:rsidR="00B8535C" w:rsidRPr="00B8535C" w:rsidRDefault="00B8535C" w:rsidP="00B8535C">
            <w:pPr>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2 (Developing Candidate)</w:t>
            </w:r>
          </w:p>
        </w:tc>
        <w:tc>
          <w:tcPr>
            <w:tcW w:w="0" w:type="auto"/>
            <w:hideMark/>
          </w:tcPr>
          <w:p w14:paraId="773BC46A"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7%</w:t>
            </w:r>
          </w:p>
        </w:tc>
        <w:tc>
          <w:tcPr>
            <w:tcW w:w="0" w:type="auto"/>
            <w:hideMark/>
          </w:tcPr>
          <w:p w14:paraId="4AEB0EB1"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1</w:t>
            </w:r>
          </w:p>
        </w:tc>
      </w:tr>
      <w:tr w:rsidR="00B8535C" w:rsidRPr="00B8535C" w14:paraId="40A3AC82" w14:textId="77777777" w:rsidTr="00B8535C">
        <w:trPr>
          <w:jc w:val="center"/>
        </w:trPr>
        <w:tc>
          <w:tcPr>
            <w:tcW w:w="0" w:type="auto"/>
            <w:hideMark/>
          </w:tcPr>
          <w:p w14:paraId="20897D79" w14:textId="77777777" w:rsidR="00B8535C" w:rsidRPr="00B8535C" w:rsidRDefault="00B8535C" w:rsidP="00B8535C">
            <w:pPr>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I prefer not to share</w:t>
            </w:r>
          </w:p>
        </w:tc>
        <w:tc>
          <w:tcPr>
            <w:tcW w:w="0" w:type="auto"/>
            <w:hideMark/>
          </w:tcPr>
          <w:p w14:paraId="559F5775"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7%</w:t>
            </w:r>
          </w:p>
        </w:tc>
        <w:tc>
          <w:tcPr>
            <w:tcW w:w="0" w:type="auto"/>
            <w:hideMark/>
          </w:tcPr>
          <w:p w14:paraId="5CEB0ECD"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1</w:t>
            </w:r>
          </w:p>
        </w:tc>
      </w:tr>
    </w:tbl>
    <w:p w14:paraId="7775B6C3" w14:textId="77777777" w:rsidR="00B8535C" w:rsidRDefault="00B8535C" w:rsidP="00222E5C">
      <w:pPr>
        <w:pStyle w:val="NormalWeb"/>
        <w:rPr>
          <w:noProof/>
        </w:rPr>
      </w:pPr>
    </w:p>
    <w:p w14:paraId="50AB4658" w14:textId="2E72716A" w:rsidR="00F439CA" w:rsidRDefault="00F439CA" w:rsidP="00B8535C">
      <w:pPr>
        <w:pStyle w:val="NormalWeb"/>
        <w:jc w:val="center"/>
        <w:rPr>
          <w:b/>
          <w:bCs/>
          <w:color w:val="000000"/>
        </w:rPr>
      </w:pPr>
      <w:r w:rsidRPr="00AC3206">
        <w:rPr>
          <w:noProof/>
        </w:rPr>
        <w:drawing>
          <wp:inline distT="0" distB="0" distL="0" distR="0" wp14:anchorId="53924F36" wp14:editId="2EF5A50F">
            <wp:extent cx="5943600" cy="1981200"/>
            <wp:effectExtent l="0" t="0" r="0" b="0"/>
            <wp:docPr id="3499800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98120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4688"/>
        <w:gridCol w:w="1187"/>
        <w:gridCol w:w="736"/>
      </w:tblGrid>
      <w:tr w:rsidR="00B8535C" w:rsidRPr="00B8535C" w14:paraId="12E1D9C6" w14:textId="77777777" w:rsidTr="00B8535C">
        <w:trPr>
          <w:jc w:val="center"/>
        </w:trPr>
        <w:tc>
          <w:tcPr>
            <w:tcW w:w="0" w:type="auto"/>
            <w:hideMark/>
          </w:tcPr>
          <w:p w14:paraId="309E0526" w14:textId="48C15438" w:rsidR="00B8535C" w:rsidRPr="00B8535C" w:rsidRDefault="00B8535C" w:rsidP="00B8535C">
            <w:pPr>
              <w:spacing w:line="240" w:lineRule="atLeast"/>
              <w:rPr>
                <w:rFonts w:ascii="Helvetica" w:eastAsia="Times New Roman" w:hAnsi="Helvetica" w:cs="Helvetica"/>
                <w:b/>
                <w:bCs/>
                <w:color w:val="74777A"/>
                <w:kern w:val="0"/>
                <w:sz w:val="18"/>
                <w:szCs w:val="18"/>
                <w14:ligatures w14:val="none"/>
              </w:rPr>
            </w:pPr>
            <w:r w:rsidRPr="00B8535C">
              <w:rPr>
                <w:rFonts w:ascii="Helvetica" w:eastAsia="Times New Roman" w:hAnsi="Helvetica" w:cs="Helvetica"/>
                <w:b/>
                <w:bCs/>
                <w:color w:val="74777A"/>
                <w:kern w:val="0"/>
                <w:sz w:val="18"/>
                <w:szCs w:val="18"/>
                <w14:ligatures w14:val="none"/>
              </w:rPr>
              <w:t>Standard 7 - Student Assessment and Data Analysis</w:t>
            </w:r>
          </w:p>
        </w:tc>
        <w:tc>
          <w:tcPr>
            <w:tcW w:w="0" w:type="auto"/>
            <w:hideMark/>
          </w:tcPr>
          <w:p w14:paraId="40304FAB" w14:textId="615AA1FA" w:rsidR="00B8535C" w:rsidRPr="00B8535C" w:rsidRDefault="00B8535C" w:rsidP="00B8535C">
            <w:pPr>
              <w:spacing w:line="240" w:lineRule="atLeast"/>
              <w:rPr>
                <w:rFonts w:ascii="Helvetica" w:eastAsia="Times New Roman" w:hAnsi="Helvetica" w:cs="Helvetica"/>
                <w:b/>
                <w:bCs/>
                <w:color w:val="74777A"/>
                <w:kern w:val="0"/>
                <w:sz w:val="18"/>
                <w:szCs w:val="18"/>
                <w14:ligatures w14:val="none"/>
              </w:rPr>
            </w:pPr>
            <w:r w:rsidRPr="00B8535C">
              <w:rPr>
                <w:rFonts w:ascii="Helvetica" w:eastAsia="Times New Roman" w:hAnsi="Helvetica" w:cs="Helvetica"/>
                <w:b/>
                <w:bCs/>
                <w:color w:val="74777A"/>
                <w:kern w:val="0"/>
                <w:sz w:val="18"/>
                <w:szCs w:val="18"/>
                <w14:ligatures w14:val="none"/>
              </w:rPr>
              <w:t>Percentage</w:t>
            </w:r>
          </w:p>
        </w:tc>
        <w:tc>
          <w:tcPr>
            <w:tcW w:w="0" w:type="auto"/>
            <w:hideMark/>
          </w:tcPr>
          <w:p w14:paraId="2F34AD1C" w14:textId="51824F99" w:rsidR="00B8535C" w:rsidRPr="00B8535C" w:rsidRDefault="00B8535C" w:rsidP="00B8535C">
            <w:pPr>
              <w:spacing w:line="240" w:lineRule="atLeast"/>
              <w:rPr>
                <w:rFonts w:ascii="Helvetica" w:eastAsia="Times New Roman" w:hAnsi="Helvetica" w:cs="Helvetica"/>
                <w:b/>
                <w:bCs/>
                <w:color w:val="74777A"/>
                <w:kern w:val="0"/>
                <w:sz w:val="18"/>
                <w:szCs w:val="18"/>
                <w14:ligatures w14:val="none"/>
              </w:rPr>
            </w:pPr>
            <w:r w:rsidRPr="00B8535C">
              <w:rPr>
                <w:rFonts w:ascii="Helvetica" w:eastAsia="Times New Roman" w:hAnsi="Helvetica" w:cs="Helvetica"/>
                <w:b/>
                <w:bCs/>
                <w:color w:val="74777A"/>
                <w:kern w:val="0"/>
                <w:sz w:val="18"/>
                <w:szCs w:val="18"/>
                <w14:ligatures w14:val="none"/>
              </w:rPr>
              <w:t>Count</w:t>
            </w:r>
          </w:p>
        </w:tc>
      </w:tr>
      <w:tr w:rsidR="00B8535C" w:rsidRPr="00B8535C" w14:paraId="758929AA" w14:textId="77777777" w:rsidTr="00B8535C">
        <w:trPr>
          <w:jc w:val="center"/>
        </w:trPr>
        <w:tc>
          <w:tcPr>
            <w:tcW w:w="0" w:type="auto"/>
            <w:hideMark/>
          </w:tcPr>
          <w:p w14:paraId="7D6C4928" w14:textId="77777777" w:rsidR="00B8535C" w:rsidRPr="00B8535C" w:rsidRDefault="00B8535C" w:rsidP="00B8535C">
            <w:pPr>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4 (Exceeding Candidate)</w:t>
            </w:r>
          </w:p>
        </w:tc>
        <w:tc>
          <w:tcPr>
            <w:tcW w:w="0" w:type="auto"/>
            <w:hideMark/>
          </w:tcPr>
          <w:p w14:paraId="3E3F87A1"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27%</w:t>
            </w:r>
          </w:p>
        </w:tc>
        <w:tc>
          <w:tcPr>
            <w:tcW w:w="0" w:type="auto"/>
            <w:hideMark/>
          </w:tcPr>
          <w:p w14:paraId="26430E52"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4</w:t>
            </w:r>
          </w:p>
        </w:tc>
      </w:tr>
      <w:tr w:rsidR="00B8535C" w:rsidRPr="00B8535C" w14:paraId="529F5A6F" w14:textId="77777777" w:rsidTr="00B8535C">
        <w:trPr>
          <w:jc w:val="center"/>
        </w:trPr>
        <w:tc>
          <w:tcPr>
            <w:tcW w:w="0" w:type="auto"/>
            <w:hideMark/>
          </w:tcPr>
          <w:p w14:paraId="2A1062B5" w14:textId="77777777" w:rsidR="00B8535C" w:rsidRPr="00B8535C" w:rsidRDefault="00B8535C" w:rsidP="00B8535C">
            <w:pPr>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3 (Skilled Candidate)</w:t>
            </w:r>
          </w:p>
        </w:tc>
        <w:tc>
          <w:tcPr>
            <w:tcW w:w="0" w:type="auto"/>
            <w:hideMark/>
          </w:tcPr>
          <w:p w14:paraId="51A78EA6"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53%</w:t>
            </w:r>
          </w:p>
        </w:tc>
        <w:tc>
          <w:tcPr>
            <w:tcW w:w="0" w:type="auto"/>
            <w:hideMark/>
          </w:tcPr>
          <w:p w14:paraId="2418486E"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8</w:t>
            </w:r>
          </w:p>
        </w:tc>
      </w:tr>
      <w:tr w:rsidR="00B8535C" w:rsidRPr="00B8535C" w14:paraId="5FBA67E5" w14:textId="77777777" w:rsidTr="00B8535C">
        <w:trPr>
          <w:jc w:val="center"/>
        </w:trPr>
        <w:tc>
          <w:tcPr>
            <w:tcW w:w="0" w:type="auto"/>
            <w:hideMark/>
          </w:tcPr>
          <w:p w14:paraId="465D3030" w14:textId="77777777" w:rsidR="00B8535C" w:rsidRPr="00B8535C" w:rsidRDefault="00B8535C" w:rsidP="00B8535C">
            <w:pPr>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2 (Developing Candidate)</w:t>
            </w:r>
          </w:p>
        </w:tc>
        <w:tc>
          <w:tcPr>
            <w:tcW w:w="0" w:type="auto"/>
            <w:hideMark/>
          </w:tcPr>
          <w:p w14:paraId="000E6F71"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13%</w:t>
            </w:r>
          </w:p>
        </w:tc>
        <w:tc>
          <w:tcPr>
            <w:tcW w:w="0" w:type="auto"/>
            <w:hideMark/>
          </w:tcPr>
          <w:p w14:paraId="44D5F8E6"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2</w:t>
            </w:r>
          </w:p>
        </w:tc>
      </w:tr>
      <w:tr w:rsidR="00B8535C" w:rsidRPr="00B8535C" w14:paraId="72BC2EAD" w14:textId="77777777" w:rsidTr="00B8535C">
        <w:trPr>
          <w:jc w:val="center"/>
        </w:trPr>
        <w:tc>
          <w:tcPr>
            <w:tcW w:w="0" w:type="auto"/>
            <w:hideMark/>
          </w:tcPr>
          <w:p w14:paraId="0D30A997" w14:textId="77777777" w:rsidR="00B8535C" w:rsidRPr="00B8535C" w:rsidRDefault="00B8535C" w:rsidP="00B8535C">
            <w:pPr>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I prefer not to share</w:t>
            </w:r>
          </w:p>
        </w:tc>
        <w:tc>
          <w:tcPr>
            <w:tcW w:w="0" w:type="auto"/>
            <w:hideMark/>
          </w:tcPr>
          <w:p w14:paraId="1EE6C0D4"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7%</w:t>
            </w:r>
          </w:p>
        </w:tc>
        <w:tc>
          <w:tcPr>
            <w:tcW w:w="0" w:type="auto"/>
            <w:hideMark/>
          </w:tcPr>
          <w:p w14:paraId="1580369F"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1</w:t>
            </w:r>
          </w:p>
        </w:tc>
      </w:tr>
    </w:tbl>
    <w:p w14:paraId="1C3A3064" w14:textId="77777777" w:rsidR="00B8535C" w:rsidRDefault="00B8535C" w:rsidP="00B8535C">
      <w:pPr>
        <w:pStyle w:val="NormalWeb"/>
        <w:jc w:val="center"/>
        <w:rPr>
          <w:b/>
          <w:bCs/>
          <w:color w:val="000000"/>
        </w:rPr>
      </w:pPr>
    </w:p>
    <w:p w14:paraId="5CEE4D43" w14:textId="3D16DB02" w:rsidR="00F439CA" w:rsidRDefault="00F439CA" w:rsidP="00B8535C">
      <w:pPr>
        <w:pStyle w:val="NormalWeb"/>
        <w:jc w:val="center"/>
        <w:rPr>
          <w:b/>
          <w:bCs/>
          <w:color w:val="000000"/>
        </w:rPr>
      </w:pPr>
      <w:r w:rsidRPr="00AC3206">
        <w:rPr>
          <w:noProof/>
        </w:rPr>
        <w:lastRenderedPageBreak/>
        <w:drawing>
          <wp:inline distT="0" distB="0" distL="0" distR="0" wp14:anchorId="30DCA322" wp14:editId="1B6B2D2A">
            <wp:extent cx="5943600" cy="1981200"/>
            <wp:effectExtent l="0" t="0" r="0" b="0"/>
            <wp:docPr id="18087520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98120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697"/>
        <w:gridCol w:w="1187"/>
        <w:gridCol w:w="736"/>
      </w:tblGrid>
      <w:tr w:rsidR="00B8535C" w:rsidRPr="00B8535C" w14:paraId="4B7CB75F" w14:textId="77777777" w:rsidTr="00B8535C">
        <w:trPr>
          <w:jc w:val="center"/>
        </w:trPr>
        <w:tc>
          <w:tcPr>
            <w:tcW w:w="0" w:type="auto"/>
            <w:hideMark/>
          </w:tcPr>
          <w:p w14:paraId="6EBBF420" w14:textId="227E0DC0" w:rsidR="00B8535C" w:rsidRPr="00B8535C" w:rsidRDefault="00B8535C" w:rsidP="00B8535C">
            <w:pPr>
              <w:spacing w:line="240" w:lineRule="atLeast"/>
              <w:rPr>
                <w:rFonts w:ascii="Helvetica" w:eastAsia="Times New Roman" w:hAnsi="Helvetica" w:cs="Helvetica"/>
                <w:b/>
                <w:bCs/>
                <w:color w:val="74777A"/>
                <w:kern w:val="0"/>
                <w:sz w:val="18"/>
                <w:szCs w:val="18"/>
                <w14:ligatures w14:val="none"/>
              </w:rPr>
            </w:pPr>
            <w:r w:rsidRPr="00B8535C">
              <w:rPr>
                <w:rFonts w:ascii="Helvetica" w:eastAsia="Times New Roman" w:hAnsi="Helvetica" w:cs="Helvetica"/>
                <w:b/>
                <w:bCs/>
                <w:color w:val="74777A"/>
                <w:kern w:val="0"/>
                <w:sz w:val="18"/>
                <w:szCs w:val="18"/>
                <w14:ligatures w14:val="none"/>
              </w:rPr>
              <w:t>Standard 8 - Professionalism</w:t>
            </w:r>
          </w:p>
        </w:tc>
        <w:tc>
          <w:tcPr>
            <w:tcW w:w="0" w:type="auto"/>
            <w:hideMark/>
          </w:tcPr>
          <w:p w14:paraId="53A19F2D" w14:textId="47BAC333" w:rsidR="00B8535C" w:rsidRPr="00B8535C" w:rsidRDefault="00B8535C" w:rsidP="00B8535C">
            <w:pPr>
              <w:spacing w:line="240" w:lineRule="atLeast"/>
              <w:rPr>
                <w:rFonts w:ascii="Helvetica" w:eastAsia="Times New Roman" w:hAnsi="Helvetica" w:cs="Helvetica"/>
                <w:b/>
                <w:bCs/>
                <w:color w:val="74777A"/>
                <w:kern w:val="0"/>
                <w:sz w:val="18"/>
                <w:szCs w:val="18"/>
                <w14:ligatures w14:val="none"/>
              </w:rPr>
            </w:pPr>
            <w:r w:rsidRPr="00B8535C">
              <w:rPr>
                <w:rFonts w:ascii="Helvetica" w:eastAsia="Times New Roman" w:hAnsi="Helvetica" w:cs="Helvetica"/>
                <w:b/>
                <w:bCs/>
                <w:color w:val="74777A"/>
                <w:kern w:val="0"/>
                <w:sz w:val="18"/>
                <w:szCs w:val="18"/>
                <w14:ligatures w14:val="none"/>
              </w:rPr>
              <w:t>Percentage</w:t>
            </w:r>
          </w:p>
        </w:tc>
        <w:tc>
          <w:tcPr>
            <w:tcW w:w="0" w:type="auto"/>
            <w:hideMark/>
          </w:tcPr>
          <w:p w14:paraId="777B2D10" w14:textId="1ACBAE0C" w:rsidR="00B8535C" w:rsidRPr="00B8535C" w:rsidRDefault="00B8535C" w:rsidP="00B8535C">
            <w:pPr>
              <w:spacing w:line="240" w:lineRule="atLeast"/>
              <w:rPr>
                <w:rFonts w:ascii="Helvetica" w:eastAsia="Times New Roman" w:hAnsi="Helvetica" w:cs="Helvetica"/>
                <w:b/>
                <w:bCs/>
                <w:color w:val="74777A"/>
                <w:kern w:val="0"/>
                <w:sz w:val="18"/>
                <w:szCs w:val="18"/>
                <w14:ligatures w14:val="none"/>
              </w:rPr>
            </w:pPr>
            <w:r w:rsidRPr="00B8535C">
              <w:rPr>
                <w:rFonts w:ascii="Helvetica" w:eastAsia="Times New Roman" w:hAnsi="Helvetica" w:cs="Helvetica"/>
                <w:b/>
                <w:bCs/>
                <w:color w:val="74777A"/>
                <w:kern w:val="0"/>
                <w:sz w:val="18"/>
                <w:szCs w:val="18"/>
                <w14:ligatures w14:val="none"/>
              </w:rPr>
              <w:t>Count</w:t>
            </w:r>
          </w:p>
        </w:tc>
      </w:tr>
      <w:tr w:rsidR="00B8535C" w:rsidRPr="00B8535C" w14:paraId="13BD5D88" w14:textId="77777777" w:rsidTr="00B8535C">
        <w:trPr>
          <w:jc w:val="center"/>
        </w:trPr>
        <w:tc>
          <w:tcPr>
            <w:tcW w:w="0" w:type="auto"/>
            <w:hideMark/>
          </w:tcPr>
          <w:p w14:paraId="0A939B65" w14:textId="77777777" w:rsidR="00B8535C" w:rsidRPr="00B8535C" w:rsidRDefault="00B8535C" w:rsidP="00B8535C">
            <w:pPr>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4 (Exceeding Candidate)</w:t>
            </w:r>
          </w:p>
        </w:tc>
        <w:tc>
          <w:tcPr>
            <w:tcW w:w="0" w:type="auto"/>
            <w:hideMark/>
          </w:tcPr>
          <w:p w14:paraId="5BBD2A09"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60%</w:t>
            </w:r>
          </w:p>
        </w:tc>
        <w:tc>
          <w:tcPr>
            <w:tcW w:w="0" w:type="auto"/>
            <w:hideMark/>
          </w:tcPr>
          <w:p w14:paraId="03028BE4"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9</w:t>
            </w:r>
          </w:p>
        </w:tc>
      </w:tr>
      <w:tr w:rsidR="00B8535C" w:rsidRPr="00B8535C" w14:paraId="618B5FEB" w14:textId="77777777" w:rsidTr="00B8535C">
        <w:trPr>
          <w:jc w:val="center"/>
        </w:trPr>
        <w:tc>
          <w:tcPr>
            <w:tcW w:w="0" w:type="auto"/>
            <w:hideMark/>
          </w:tcPr>
          <w:p w14:paraId="62B9EA9F" w14:textId="77777777" w:rsidR="00B8535C" w:rsidRPr="00B8535C" w:rsidRDefault="00B8535C" w:rsidP="00B8535C">
            <w:pPr>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3 (Skilled Candidate)</w:t>
            </w:r>
          </w:p>
        </w:tc>
        <w:tc>
          <w:tcPr>
            <w:tcW w:w="0" w:type="auto"/>
            <w:hideMark/>
          </w:tcPr>
          <w:p w14:paraId="116AB9CB"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33%</w:t>
            </w:r>
          </w:p>
        </w:tc>
        <w:tc>
          <w:tcPr>
            <w:tcW w:w="0" w:type="auto"/>
            <w:hideMark/>
          </w:tcPr>
          <w:p w14:paraId="46666707"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5</w:t>
            </w:r>
          </w:p>
        </w:tc>
      </w:tr>
      <w:tr w:rsidR="00B8535C" w:rsidRPr="00B8535C" w14:paraId="63F36370" w14:textId="77777777" w:rsidTr="00B8535C">
        <w:trPr>
          <w:jc w:val="center"/>
        </w:trPr>
        <w:tc>
          <w:tcPr>
            <w:tcW w:w="0" w:type="auto"/>
            <w:hideMark/>
          </w:tcPr>
          <w:p w14:paraId="3AEB952F" w14:textId="77777777" w:rsidR="00B8535C" w:rsidRPr="00B8535C" w:rsidRDefault="00B8535C" w:rsidP="00B8535C">
            <w:pPr>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2 (Developing Candidate)</w:t>
            </w:r>
          </w:p>
        </w:tc>
        <w:tc>
          <w:tcPr>
            <w:tcW w:w="0" w:type="auto"/>
            <w:hideMark/>
          </w:tcPr>
          <w:p w14:paraId="7AC70B9B"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7%</w:t>
            </w:r>
          </w:p>
        </w:tc>
        <w:tc>
          <w:tcPr>
            <w:tcW w:w="0" w:type="auto"/>
            <w:hideMark/>
          </w:tcPr>
          <w:p w14:paraId="411529DA"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1</w:t>
            </w:r>
          </w:p>
        </w:tc>
      </w:tr>
    </w:tbl>
    <w:p w14:paraId="09D28E57" w14:textId="77777777" w:rsidR="00B8535C" w:rsidRDefault="00B8535C" w:rsidP="00B8535C">
      <w:pPr>
        <w:pStyle w:val="NormalWeb"/>
        <w:jc w:val="center"/>
        <w:rPr>
          <w:b/>
          <w:bCs/>
          <w:color w:val="000000"/>
        </w:rPr>
      </w:pPr>
    </w:p>
    <w:p w14:paraId="0379560E" w14:textId="60E7005F" w:rsidR="00F439CA" w:rsidRDefault="00F439CA" w:rsidP="00B8535C">
      <w:pPr>
        <w:pStyle w:val="NormalWeb"/>
        <w:jc w:val="center"/>
        <w:rPr>
          <w:b/>
          <w:bCs/>
          <w:color w:val="000000"/>
        </w:rPr>
      </w:pPr>
      <w:r w:rsidRPr="00AC3206">
        <w:rPr>
          <w:noProof/>
        </w:rPr>
        <w:drawing>
          <wp:inline distT="0" distB="0" distL="0" distR="0" wp14:anchorId="19061993" wp14:editId="1A0FE6CF">
            <wp:extent cx="5943600" cy="1981200"/>
            <wp:effectExtent l="0" t="0" r="0" b="0"/>
            <wp:docPr id="128713530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98120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3597"/>
        <w:gridCol w:w="1187"/>
        <w:gridCol w:w="736"/>
      </w:tblGrid>
      <w:tr w:rsidR="00B8535C" w:rsidRPr="00B8535C" w14:paraId="0D40F6DD" w14:textId="77777777" w:rsidTr="00B8535C">
        <w:trPr>
          <w:jc w:val="center"/>
        </w:trPr>
        <w:tc>
          <w:tcPr>
            <w:tcW w:w="0" w:type="auto"/>
            <w:hideMark/>
          </w:tcPr>
          <w:p w14:paraId="725715E0" w14:textId="21EB4ADD" w:rsidR="00B8535C" w:rsidRPr="00B8535C" w:rsidRDefault="00B8535C" w:rsidP="00B8535C">
            <w:pPr>
              <w:spacing w:line="240" w:lineRule="atLeast"/>
              <w:rPr>
                <w:rFonts w:ascii="Helvetica" w:eastAsia="Times New Roman" w:hAnsi="Helvetica" w:cs="Helvetica"/>
                <w:b/>
                <w:bCs/>
                <w:color w:val="74777A"/>
                <w:kern w:val="0"/>
                <w:sz w:val="18"/>
                <w:szCs w:val="18"/>
                <w14:ligatures w14:val="none"/>
              </w:rPr>
            </w:pPr>
            <w:r w:rsidRPr="00B8535C">
              <w:rPr>
                <w:rFonts w:ascii="Helvetica" w:eastAsia="Times New Roman" w:hAnsi="Helvetica" w:cs="Helvetica"/>
                <w:b/>
                <w:bCs/>
                <w:color w:val="74777A"/>
                <w:kern w:val="0"/>
                <w:sz w:val="18"/>
                <w:szCs w:val="18"/>
                <w14:ligatures w14:val="none"/>
              </w:rPr>
              <w:t>Standard 9 - Professional Collaboration</w:t>
            </w:r>
          </w:p>
        </w:tc>
        <w:tc>
          <w:tcPr>
            <w:tcW w:w="0" w:type="auto"/>
            <w:hideMark/>
          </w:tcPr>
          <w:p w14:paraId="1DDF0742" w14:textId="3BB7C607" w:rsidR="00B8535C" w:rsidRPr="00B8535C" w:rsidRDefault="00B8535C" w:rsidP="00B8535C">
            <w:pPr>
              <w:spacing w:line="240" w:lineRule="atLeast"/>
              <w:rPr>
                <w:rFonts w:ascii="Helvetica" w:eastAsia="Times New Roman" w:hAnsi="Helvetica" w:cs="Helvetica"/>
                <w:b/>
                <w:bCs/>
                <w:color w:val="74777A"/>
                <w:kern w:val="0"/>
                <w:sz w:val="18"/>
                <w:szCs w:val="18"/>
                <w14:ligatures w14:val="none"/>
              </w:rPr>
            </w:pPr>
            <w:r w:rsidRPr="00B8535C">
              <w:rPr>
                <w:rFonts w:ascii="Helvetica" w:eastAsia="Times New Roman" w:hAnsi="Helvetica" w:cs="Helvetica"/>
                <w:b/>
                <w:bCs/>
                <w:color w:val="74777A"/>
                <w:kern w:val="0"/>
                <w:sz w:val="18"/>
                <w:szCs w:val="18"/>
                <w14:ligatures w14:val="none"/>
              </w:rPr>
              <w:t>Percentage</w:t>
            </w:r>
          </w:p>
        </w:tc>
        <w:tc>
          <w:tcPr>
            <w:tcW w:w="0" w:type="auto"/>
            <w:hideMark/>
          </w:tcPr>
          <w:p w14:paraId="270F33BF" w14:textId="00F92903" w:rsidR="00B8535C" w:rsidRPr="00B8535C" w:rsidRDefault="00B8535C" w:rsidP="00B8535C">
            <w:pPr>
              <w:spacing w:line="240" w:lineRule="atLeast"/>
              <w:jc w:val="center"/>
              <w:rPr>
                <w:rFonts w:ascii="Helvetica" w:eastAsia="Times New Roman" w:hAnsi="Helvetica" w:cs="Helvetica"/>
                <w:b/>
                <w:bCs/>
                <w:color w:val="74777A"/>
                <w:kern w:val="0"/>
                <w:sz w:val="18"/>
                <w:szCs w:val="18"/>
                <w14:ligatures w14:val="none"/>
              </w:rPr>
            </w:pPr>
            <w:r w:rsidRPr="00B8535C">
              <w:rPr>
                <w:rFonts w:ascii="Helvetica" w:eastAsia="Times New Roman" w:hAnsi="Helvetica" w:cs="Helvetica"/>
                <w:b/>
                <w:bCs/>
                <w:color w:val="74777A"/>
                <w:kern w:val="0"/>
                <w:sz w:val="18"/>
                <w:szCs w:val="18"/>
                <w14:ligatures w14:val="none"/>
              </w:rPr>
              <w:t>Count</w:t>
            </w:r>
          </w:p>
        </w:tc>
      </w:tr>
      <w:tr w:rsidR="00B8535C" w:rsidRPr="00B8535C" w14:paraId="7133AAEC" w14:textId="77777777" w:rsidTr="00B8535C">
        <w:trPr>
          <w:jc w:val="center"/>
        </w:trPr>
        <w:tc>
          <w:tcPr>
            <w:tcW w:w="0" w:type="auto"/>
            <w:hideMark/>
          </w:tcPr>
          <w:p w14:paraId="104B32E9" w14:textId="77777777" w:rsidR="00B8535C" w:rsidRPr="00B8535C" w:rsidRDefault="00B8535C" w:rsidP="00B8535C">
            <w:pPr>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lastRenderedPageBreak/>
              <w:t>4 (Exceeding Candidate)</w:t>
            </w:r>
          </w:p>
        </w:tc>
        <w:tc>
          <w:tcPr>
            <w:tcW w:w="0" w:type="auto"/>
            <w:hideMark/>
          </w:tcPr>
          <w:p w14:paraId="2FECD815"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53%</w:t>
            </w:r>
          </w:p>
        </w:tc>
        <w:tc>
          <w:tcPr>
            <w:tcW w:w="0" w:type="auto"/>
            <w:hideMark/>
          </w:tcPr>
          <w:p w14:paraId="2C2A6364"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8</w:t>
            </w:r>
          </w:p>
        </w:tc>
      </w:tr>
      <w:tr w:rsidR="00B8535C" w:rsidRPr="00B8535C" w14:paraId="3F310E10" w14:textId="77777777" w:rsidTr="00B8535C">
        <w:trPr>
          <w:jc w:val="center"/>
        </w:trPr>
        <w:tc>
          <w:tcPr>
            <w:tcW w:w="0" w:type="auto"/>
            <w:hideMark/>
          </w:tcPr>
          <w:p w14:paraId="66311765" w14:textId="77777777" w:rsidR="00B8535C" w:rsidRPr="00B8535C" w:rsidRDefault="00B8535C" w:rsidP="00B8535C">
            <w:pPr>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3 (Skilled Candidate)</w:t>
            </w:r>
          </w:p>
        </w:tc>
        <w:tc>
          <w:tcPr>
            <w:tcW w:w="0" w:type="auto"/>
            <w:hideMark/>
          </w:tcPr>
          <w:p w14:paraId="045B5AAE"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33%</w:t>
            </w:r>
          </w:p>
        </w:tc>
        <w:tc>
          <w:tcPr>
            <w:tcW w:w="0" w:type="auto"/>
            <w:hideMark/>
          </w:tcPr>
          <w:p w14:paraId="3FB288A6"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5</w:t>
            </w:r>
          </w:p>
        </w:tc>
      </w:tr>
      <w:tr w:rsidR="00B8535C" w:rsidRPr="00B8535C" w14:paraId="5AEC9B03" w14:textId="77777777" w:rsidTr="00B8535C">
        <w:trPr>
          <w:jc w:val="center"/>
        </w:trPr>
        <w:tc>
          <w:tcPr>
            <w:tcW w:w="0" w:type="auto"/>
            <w:hideMark/>
          </w:tcPr>
          <w:p w14:paraId="57F559C5" w14:textId="77777777" w:rsidR="00B8535C" w:rsidRPr="00B8535C" w:rsidRDefault="00B8535C" w:rsidP="00B8535C">
            <w:pPr>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2 (Developing Candidate)</w:t>
            </w:r>
          </w:p>
        </w:tc>
        <w:tc>
          <w:tcPr>
            <w:tcW w:w="0" w:type="auto"/>
            <w:hideMark/>
          </w:tcPr>
          <w:p w14:paraId="7A81D239"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7%</w:t>
            </w:r>
          </w:p>
        </w:tc>
        <w:tc>
          <w:tcPr>
            <w:tcW w:w="0" w:type="auto"/>
            <w:hideMark/>
          </w:tcPr>
          <w:p w14:paraId="616AD7FB"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1</w:t>
            </w:r>
          </w:p>
        </w:tc>
      </w:tr>
      <w:tr w:rsidR="00B8535C" w:rsidRPr="00B8535C" w14:paraId="795CE3DF" w14:textId="77777777" w:rsidTr="00B8535C">
        <w:trPr>
          <w:jc w:val="center"/>
        </w:trPr>
        <w:tc>
          <w:tcPr>
            <w:tcW w:w="0" w:type="auto"/>
            <w:hideMark/>
          </w:tcPr>
          <w:p w14:paraId="4203B255" w14:textId="77777777" w:rsidR="00B8535C" w:rsidRPr="00B8535C" w:rsidRDefault="00B8535C" w:rsidP="00B8535C">
            <w:pPr>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I prefer not to share</w:t>
            </w:r>
          </w:p>
        </w:tc>
        <w:tc>
          <w:tcPr>
            <w:tcW w:w="0" w:type="auto"/>
            <w:hideMark/>
          </w:tcPr>
          <w:p w14:paraId="22DD4477"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7%</w:t>
            </w:r>
          </w:p>
        </w:tc>
        <w:tc>
          <w:tcPr>
            <w:tcW w:w="0" w:type="auto"/>
            <w:hideMark/>
          </w:tcPr>
          <w:p w14:paraId="1D985E0D" w14:textId="77777777" w:rsidR="00B8535C" w:rsidRPr="00B8535C" w:rsidRDefault="00B8535C" w:rsidP="00B8535C">
            <w:pPr>
              <w:jc w:val="right"/>
              <w:rPr>
                <w:rFonts w:ascii="Helvetica" w:eastAsia="Times New Roman" w:hAnsi="Helvetica" w:cs="Helvetica"/>
                <w:color w:val="32363A"/>
                <w:kern w:val="0"/>
                <w:sz w:val="21"/>
                <w:szCs w:val="21"/>
                <w14:ligatures w14:val="none"/>
              </w:rPr>
            </w:pPr>
            <w:r w:rsidRPr="00B8535C">
              <w:rPr>
                <w:rFonts w:ascii="Helvetica" w:eastAsia="Times New Roman" w:hAnsi="Helvetica" w:cs="Helvetica"/>
                <w:color w:val="32363A"/>
                <w:kern w:val="0"/>
                <w:sz w:val="21"/>
                <w:szCs w:val="21"/>
                <w14:ligatures w14:val="none"/>
              </w:rPr>
              <w:t>1</w:t>
            </w:r>
          </w:p>
        </w:tc>
      </w:tr>
    </w:tbl>
    <w:p w14:paraId="04DD3B9E" w14:textId="77777777" w:rsidR="00B8535C" w:rsidRDefault="00B8535C" w:rsidP="00B8535C">
      <w:pPr>
        <w:pStyle w:val="NormalWeb"/>
        <w:jc w:val="center"/>
        <w:rPr>
          <w:b/>
          <w:bCs/>
          <w:color w:val="000000"/>
        </w:rPr>
      </w:pPr>
    </w:p>
    <w:p w14:paraId="244ABA2D" w14:textId="5447DE02" w:rsidR="00F439CA" w:rsidRDefault="00F439CA" w:rsidP="00B8535C">
      <w:pPr>
        <w:pStyle w:val="NormalWeb"/>
        <w:jc w:val="center"/>
        <w:rPr>
          <w:b/>
          <w:bCs/>
          <w:color w:val="000000"/>
        </w:rPr>
      </w:pPr>
      <w:r w:rsidRPr="00AC3206">
        <w:rPr>
          <w:noProof/>
        </w:rPr>
        <w:drawing>
          <wp:inline distT="0" distB="0" distL="0" distR="0" wp14:anchorId="641CDB53" wp14:editId="4216EEDF">
            <wp:extent cx="5943600" cy="1981200"/>
            <wp:effectExtent l="0" t="0" r="0" b="0"/>
            <wp:docPr id="182718785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981200"/>
                    </a:xfrm>
                    <a:prstGeom prst="rect">
                      <a:avLst/>
                    </a:prstGeom>
                    <a:noFill/>
                    <a:ln>
                      <a:noFill/>
                    </a:ln>
                  </pic:spPr>
                </pic:pic>
              </a:graphicData>
            </a:graphic>
          </wp:inline>
        </w:drawing>
      </w:r>
    </w:p>
    <w:p w14:paraId="685C7371" w14:textId="77777777" w:rsidR="00B8535C" w:rsidRPr="00FB46E4" w:rsidRDefault="00B8535C" w:rsidP="00B8535C">
      <w:pPr>
        <w:rPr>
          <w:rFonts w:cs="Times New Roman"/>
        </w:rPr>
      </w:pPr>
      <w:r w:rsidRPr="00FB46E4">
        <w:rPr>
          <w:rFonts w:cs="Times New Roman"/>
        </w:rPr>
        <w:t>These findings are corroborated by employer evaluations. Principals supervising first-year Lindenwood graduates rated completers positively across all Missouri Teacher Standards, with overall standard means ranging from approximately 3.67 to 3.93 on a five-point scale. Highest ratings were noted in Effective Communication, Professional Collaboration, and fostering positive student relationships, indicating that completers are effectively applying professional knowledge and skills in P–12 settings.</w:t>
      </w:r>
    </w:p>
    <w:p w14:paraId="41268CE0" w14:textId="77777777" w:rsidR="00B8535C" w:rsidRPr="00AC3206" w:rsidRDefault="00B8535C" w:rsidP="00B8535C">
      <w:pPr>
        <w:rPr>
          <w:rFonts w:cs="Times New Roman"/>
          <w:b/>
          <w:bCs/>
        </w:rPr>
      </w:pPr>
      <w:r w:rsidRPr="006E30DA">
        <w:rPr>
          <w:rFonts w:cs="Times New Roman"/>
          <w:b/>
          <w:bCs/>
        </w:rPr>
        <w:t xml:space="preserve">R4.2: </w:t>
      </w:r>
      <w:r w:rsidRPr="00AC3206">
        <w:rPr>
          <w:rFonts w:cs="Times New Roman"/>
          <w:b/>
          <w:bCs/>
        </w:rPr>
        <w:t xml:space="preserve">Satisfaction of Employers- </w:t>
      </w:r>
      <w:r w:rsidRPr="006E30DA">
        <w:rPr>
          <w:rFonts w:cs="Times New Roman"/>
          <w:b/>
          <w:bCs/>
        </w:rPr>
        <w:t>Evidence of Completer Impact on P–12 Student Learning and Development</w:t>
      </w:r>
    </w:p>
    <w:p w14:paraId="7EF75080" w14:textId="77777777" w:rsidR="00B8535C" w:rsidRPr="00242124" w:rsidRDefault="00B8535C" w:rsidP="00B8535C">
      <w:pPr>
        <w:rPr>
          <w:rFonts w:cs="Times New Roman"/>
        </w:rPr>
      </w:pPr>
      <w:r w:rsidRPr="00242124">
        <w:rPr>
          <w:rFonts w:cs="Times New Roman"/>
          <w:b/>
          <w:bCs/>
        </w:rPr>
        <w:t>CAEP Expectation:</w:t>
      </w:r>
      <w:r w:rsidRPr="00242124">
        <w:rPr>
          <w:rFonts w:cs="Times New Roman"/>
        </w:rPr>
        <w:br/>
      </w:r>
      <w:r w:rsidRPr="00242124">
        <w:rPr>
          <w:rFonts w:cs="Times New Roman"/>
          <w:i/>
          <w:iCs/>
        </w:rPr>
        <w:t>The provider demonstrates that program completers have a positive impact on P–12 student learning, growth, and development.</w:t>
      </w:r>
    </w:p>
    <w:p w14:paraId="70D84A9D" w14:textId="0C3F32BB" w:rsidR="00B8535C" w:rsidRPr="00242124" w:rsidRDefault="00B8535C" w:rsidP="00B8535C">
      <w:pPr>
        <w:rPr>
          <w:rFonts w:cs="Times New Roman"/>
        </w:rPr>
      </w:pPr>
      <w:r w:rsidRPr="00242124">
        <w:rPr>
          <w:rFonts w:cs="Times New Roman"/>
        </w:rPr>
        <w:t xml:space="preserve">Evidence from both completer self-reports and principal evaluations demonstrates that Lindenwood University graduates positively impact P–12 student learning and development. Alumni participating in the </w:t>
      </w:r>
      <w:r w:rsidR="00AE45E6">
        <w:rPr>
          <w:rFonts w:cs="Times New Roman"/>
        </w:rPr>
        <w:t>2025-</w:t>
      </w:r>
      <w:r w:rsidRPr="00242124">
        <w:rPr>
          <w:rFonts w:cs="Times New Roman"/>
        </w:rPr>
        <w:t xml:space="preserve">2026 survey reported high levels of perceived impact, with most </w:t>
      </w:r>
      <w:r w:rsidRPr="00242124">
        <w:rPr>
          <w:rFonts w:cs="Times New Roman"/>
        </w:rPr>
        <w:lastRenderedPageBreak/>
        <w:t>completers rating their influence on student learning as Effective or Very Effective. Alumni described impact through student academic growth, engagement, assessment data, and the creation of supportive classroom environments.</w:t>
      </w:r>
    </w:p>
    <w:p w14:paraId="34B35CA7" w14:textId="77777777" w:rsidR="00B8535C" w:rsidRDefault="00B8535C" w:rsidP="00B8535C">
      <w:pPr>
        <w:rPr>
          <w:rFonts w:cs="Times New Roman"/>
        </w:rPr>
      </w:pPr>
      <w:r w:rsidRPr="00242124">
        <w:rPr>
          <w:rFonts w:cs="Times New Roman"/>
        </w:rPr>
        <w:t>Performance-based evaluations completed by principals further validate these findings. Seventy-eight percent of principals rated first-year teachers as Effective or Highly Effective in their overall impact on students, and seventy-eight percent rated them as Effective or Highly Effective in achieving expected levels of student growth. These results provide strong external evidence that Lindenwood completers positively influence P–12 learner outcomes.</w:t>
      </w:r>
    </w:p>
    <w:p w14:paraId="5FF630A2" w14:textId="77777777" w:rsidR="00B8535C" w:rsidRPr="00AC3206" w:rsidRDefault="00B8535C" w:rsidP="00B8535C">
      <w:pPr>
        <w:rPr>
          <w:rFonts w:cs="Times New Roman"/>
          <w:b/>
          <w:bCs/>
        </w:rPr>
      </w:pPr>
      <w:r w:rsidRPr="00AC3206">
        <w:rPr>
          <w:rFonts w:cs="Times New Roman"/>
          <w:b/>
          <w:bCs/>
        </w:rPr>
        <w:t>R4.3: Completer Satisfaction with Preparation</w:t>
      </w:r>
    </w:p>
    <w:p w14:paraId="02B49903" w14:textId="77777777" w:rsidR="00B8535C" w:rsidRPr="00242124" w:rsidRDefault="00B8535C" w:rsidP="00B8535C">
      <w:pPr>
        <w:rPr>
          <w:rFonts w:cs="Times New Roman"/>
        </w:rPr>
      </w:pPr>
      <w:r w:rsidRPr="00242124">
        <w:rPr>
          <w:rFonts w:cs="Times New Roman"/>
          <w:b/>
          <w:bCs/>
        </w:rPr>
        <w:t>CAEP Expectation:</w:t>
      </w:r>
      <w:r w:rsidRPr="00242124">
        <w:rPr>
          <w:rFonts w:cs="Times New Roman"/>
        </w:rPr>
        <w:br/>
      </w:r>
      <w:r w:rsidRPr="00242124">
        <w:rPr>
          <w:rFonts w:cs="Times New Roman"/>
          <w:i/>
          <w:iCs/>
        </w:rPr>
        <w:t>The provider demonstrates that program completers perceive their preparation as relevant and effective.</w:t>
      </w:r>
    </w:p>
    <w:p w14:paraId="655EB99E" w14:textId="5671239E" w:rsidR="00B8535C" w:rsidRPr="00242124" w:rsidRDefault="00B8535C" w:rsidP="00B8535C">
      <w:pPr>
        <w:rPr>
          <w:rFonts w:cs="Times New Roman"/>
        </w:rPr>
      </w:pPr>
      <w:r w:rsidRPr="00242124">
        <w:rPr>
          <w:rFonts w:cs="Times New Roman"/>
        </w:rPr>
        <w:t xml:space="preserve">Lindenwood University demonstrates </w:t>
      </w:r>
      <w:proofErr w:type="gramStart"/>
      <w:r w:rsidRPr="00242124">
        <w:rPr>
          <w:rFonts w:cs="Times New Roman"/>
        </w:rPr>
        <w:t>completer</w:t>
      </w:r>
      <w:proofErr w:type="gramEnd"/>
      <w:r w:rsidRPr="00242124">
        <w:rPr>
          <w:rFonts w:cs="Times New Roman"/>
        </w:rPr>
        <w:t xml:space="preserve"> satisfaction with preparation through alumni and employer feedback regarding overall program quality. Results from the </w:t>
      </w:r>
      <w:r w:rsidR="00AE45E6">
        <w:rPr>
          <w:rFonts w:cs="Times New Roman"/>
        </w:rPr>
        <w:t>2025-</w:t>
      </w:r>
      <w:r w:rsidRPr="00242124">
        <w:rPr>
          <w:rFonts w:cs="Times New Roman"/>
        </w:rPr>
        <w:t xml:space="preserve">2026 Alumni Survey indicate that most respondents rated the quality of their professional education program as </w:t>
      </w:r>
      <w:r w:rsidRPr="00242124">
        <w:rPr>
          <w:rFonts w:cs="Times New Roman"/>
          <w:i/>
          <w:iCs/>
        </w:rPr>
        <w:t>Good</w:t>
      </w:r>
      <w:r w:rsidRPr="00242124">
        <w:rPr>
          <w:rFonts w:cs="Times New Roman"/>
        </w:rPr>
        <w:t xml:space="preserve"> or </w:t>
      </w:r>
      <w:r w:rsidRPr="00242124">
        <w:rPr>
          <w:rFonts w:cs="Times New Roman"/>
          <w:i/>
          <w:iCs/>
        </w:rPr>
        <w:t>Very Good</w:t>
      </w:r>
      <w:r w:rsidRPr="00242124">
        <w:rPr>
          <w:rFonts w:cs="Times New Roman"/>
        </w:rPr>
        <w:t>. Alumni consistently identified preparation in instructional foundations, relationship-building, professionalism, and collaboration as program strengths.</w:t>
      </w:r>
    </w:p>
    <w:p w14:paraId="7E03BEB5" w14:textId="77777777" w:rsidR="00B8535C" w:rsidRPr="00242124" w:rsidRDefault="00B8535C" w:rsidP="00B8535C">
      <w:pPr>
        <w:rPr>
          <w:rFonts w:cs="Times New Roman"/>
        </w:rPr>
      </w:pPr>
      <w:r w:rsidRPr="00242124">
        <w:rPr>
          <w:rFonts w:cs="Times New Roman"/>
        </w:rPr>
        <w:t>Employer perceptions further support completer satisfaction with preparation. Principals rated the overall quality of Lindenwood’s teacher preparation programs with a mean score of 3.97 on a five-point scale, indicating strong satisfaction with the preparation completers received prior to entering the profession.</w:t>
      </w:r>
    </w:p>
    <w:p w14:paraId="70B83491" w14:textId="77777777" w:rsidR="00B8535C" w:rsidRPr="00242124" w:rsidRDefault="00B8535C" w:rsidP="00B8535C">
      <w:pPr>
        <w:rPr>
          <w:rFonts w:cs="Times New Roman"/>
        </w:rPr>
      </w:pPr>
      <w:r w:rsidRPr="00242124">
        <w:rPr>
          <w:rFonts w:cs="Times New Roman"/>
        </w:rPr>
        <w:t>While both alumni and principals expressed high levels of satisfaction, they also identified areas for improvement, including classroom management, differentiation, literacy instruction, and preparation for diverse learner needs. These findings reflect thoughtful, experience-based feedback from completers and employers and are used to inform ongoing program improvement.</w:t>
      </w:r>
    </w:p>
    <w:p w14:paraId="65C5809B" w14:textId="77777777" w:rsidR="00B8535C" w:rsidRPr="00811A7F" w:rsidRDefault="00B8535C" w:rsidP="00B8535C">
      <w:pPr>
        <w:rPr>
          <w:b/>
          <w:bCs/>
          <w:sz w:val="28"/>
          <w:szCs w:val="28"/>
        </w:rPr>
      </w:pPr>
      <w:r w:rsidRPr="00811A7F">
        <w:rPr>
          <w:b/>
          <w:bCs/>
          <w:sz w:val="28"/>
          <w:szCs w:val="28"/>
        </w:rPr>
        <w:t>Identified Challenges and Areas for Growth</w:t>
      </w:r>
    </w:p>
    <w:p w14:paraId="64E3A3BB" w14:textId="77777777" w:rsidR="00B8535C" w:rsidRPr="006E30DA" w:rsidRDefault="00B8535C" w:rsidP="00B8535C">
      <w:pPr>
        <w:rPr>
          <w:rFonts w:cs="Times New Roman"/>
        </w:rPr>
      </w:pPr>
      <w:r w:rsidRPr="006E30DA">
        <w:rPr>
          <w:rFonts w:cs="Times New Roman"/>
        </w:rPr>
        <w:t>Alumni-Identified Challenges</w:t>
      </w:r>
    </w:p>
    <w:p w14:paraId="0C0D2C95" w14:textId="77777777" w:rsidR="00B8535C" w:rsidRPr="006E30DA" w:rsidRDefault="00B8535C" w:rsidP="00B8535C">
      <w:pPr>
        <w:rPr>
          <w:rFonts w:cs="Times New Roman"/>
        </w:rPr>
      </w:pPr>
      <w:r w:rsidRPr="006E30DA">
        <w:rPr>
          <w:rFonts w:cs="Times New Roman"/>
        </w:rPr>
        <w:t>Alumni were asked to identify the most difficult challenges faced when striving to meet student needs. Dominant themes included:</w:t>
      </w:r>
    </w:p>
    <w:p w14:paraId="7073F5F7" w14:textId="77777777" w:rsidR="00B8535C" w:rsidRPr="006E30DA" w:rsidRDefault="00B8535C" w:rsidP="00B8535C">
      <w:pPr>
        <w:numPr>
          <w:ilvl w:val="0"/>
          <w:numId w:val="15"/>
        </w:numPr>
        <w:rPr>
          <w:rFonts w:cs="Times New Roman"/>
        </w:rPr>
      </w:pPr>
      <w:r w:rsidRPr="006E30DA">
        <w:rPr>
          <w:rFonts w:cs="Times New Roman"/>
        </w:rPr>
        <w:lastRenderedPageBreak/>
        <w:t>Classroom and behavior management</w:t>
      </w:r>
    </w:p>
    <w:p w14:paraId="2BAFFA85" w14:textId="77777777" w:rsidR="00B8535C" w:rsidRPr="006E30DA" w:rsidRDefault="00B8535C" w:rsidP="00B8535C">
      <w:pPr>
        <w:numPr>
          <w:ilvl w:val="0"/>
          <w:numId w:val="15"/>
        </w:numPr>
        <w:rPr>
          <w:rFonts w:cs="Times New Roman"/>
        </w:rPr>
      </w:pPr>
      <w:r w:rsidRPr="006E30DA">
        <w:rPr>
          <w:rFonts w:cs="Times New Roman"/>
        </w:rPr>
        <w:t>Supporting students with diverse learning and behavioral needs</w:t>
      </w:r>
    </w:p>
    <w:p w14:paraId="192A887A" w14:textId="77777777" w:rsidR="00B8535C" w:rsidRPr="006E30DA" w:rsidRDefault="00B8535C" w:rsidP="00B8535C">
      <w:pPr>
        <w:numPr>
          <w:ilvl w:val="0"/>
          <w:numId w:val="15"/>
        </w:numPr>
        <w:rPr>
          <w:rFonts w:cs="Times New Roman"/>
        </w:rPr>
      </w:pPr>
      <w:r w:rsidRPr="006E30DA">
        <w:rPr>
          <w:rFonts w:cs="Times New Roman"/>
        </w:rPr>
        <w:t>Communicating effectively with parents and caregivers</w:t>
      </w:r>
    </w:p>
    <w:p w14:paraId="0FC260BA" w14:textId="77777777" w:rsidR="00B8535C" w:rsidRPr="006E30DA" w:rsidRDefault="00B8535C" w:rsidP="00B8535C">
      <w:pPr>
        <w:numPr>
          <w:ilvl w:val="0"/>
          <w:numId w:val="15"/>
        </w:numPr>
        <w:rPr>
          <w:rFonts w:cs="Times New Roman"/>
        </w:rPr>
      </w:pPr>
      <w:r w:rsidRPr="006E30DA">
        <w:rPr>
          <w:rFonts w:cs="Times New Roman"/>
        </w:rPr>
        <w:t>Balancing academic instruction with social-emotional and behavioral demands</w:t>
      </w:r>
    </w:p>
    <w:p w14:paraId="2F058016" w14:textId="77777777" w:rsidR="00B8535C" w:rsidRPr="006E30DA" w:rsidRDefault="00B8535C" w:rsidP="00B8535C">
      <w:pPr>
        <w:rPr>
          <w:rFonts w:cs="Times New Roman"/>
        </w:rPr>
      </w:pPr>
      <w:r w:rsidRPr="006E30DA">
        <w:rPr>
          <w:rFonts w:cs="Times New Roman"/>
        </w:rPr>
        <w:t>Principal-Identified Challenges</w:t>
      </w:r>
    </w:p>
    <w:p w14:paraId="010F8E88" w14:textId="77777777" w:rsidR="00B8535C" w:rsidRPr="006E30DA" w:rsidRDefault="00B8535C" w:rsidP="00B8535C">
      <w:pPr>
        <w:rPr>
          <w:rFonts w:cs="Times New Roman"/>
        </w:rPr>
      </w:pPr>
      <w:proofErr w:type="gramStart"/>
      <w:r w:rsidRPr="006E30DA">
        <w:rPr>
          <w:rFonts w:cs="Times New Roman"/>
        </w:rPr>
        <w:t>Principal</w:t>
      </w:r>
      <w:proofErr w:type="gramEnd"/>
      <w:r w:rsidRPr="006E30DA">
        <w:rPr>
          <w:rFonts w:cs="Times New Roman"/>
        </w:rPr>
        <w:t xml:space="preserve"> open-ended responses echoed alumni feedback, with repeated references to:</w:t>
      </w:r>
    </w:p>
    <w:p w14:paraId="4CDBB645" w14:textId="77777777" w:rsidR="00B8535C" w:rsidRPr="006E30DA" w:rsidRDefault="00B8535C" w:rsidP="00B8535C">
      <w:pPr>
        <w:numPr>
          <w:ilvl w:val="0"/>
          <w:numId w:val="16"/>
        </w:numPr>
        <w:rPr>
          <w:rFonts w:cs="Times New Roman"/>
        </w:rPr>
      </w:pPr>
      <w:r w:rsidRPr="006E30DA">
        <w:rPr>
          <w:rFonts w:cs="Times New Roman"/>
        </w:rPr>
        <w:t>Classroom management and student behavior</w:t>
      </w:r>
    </w:p>
    <w:p w14:paraId="23EC5E1E" w14:textId="77777777" w:rsidR="00B8535C" w:rsidRPr="006E30DA" w:rsidRDefault="00B8535C" w:rsidP="00B8535C">
      <w:pPr>
        <w:numPr>
          <w:ilvl w:val="0"/>
          <w:numId w:val="16"/>
        </w:numPr>
        <w:rPr>
          <w:rFonts w:cs="Times New Roman"/>
        </w:rPr>
      </w:pPr>
      <w:r w:rsidRPr="006E30DA">
        <w:rPr>
          <w:rFonts w:cs="Times New Roman"/>
        </w:rPr>
        <w:t>Transitions and pacing</w:t>
      </w:r>
    </w:p>
    <w:p w14:paraId="3DE37D2A" w14:textId="77777777" w:rsidR="00B8535C" w:rsidRPr="006E30DA" w:rsidRDefault="00B8535C" w:rsidP="00B8535C">
      <w:pPr>
        <w:numPr>
          <w:ilvl w:val="0"/>
          <w:numId w:val="16"/>
        </w:numPr>
        <w:rPr>
          <w:rFonts w:cs="Times New Roman"/>
        </w:rPr>
      </w:pPr>
      <w:r w:rsidRPr="006E30DA">
        <w:rPr>
          <w:rFonts w:cs="Times New Roman"/>
        </w:rPr>
        <w:t>Differentiation for diverse learners, including gifted students and students with disabilities</w:t>
      </w:r>
    </w:p>
    <w:p w14:paraId="5B458D0C" w14:textId="77777777" w:rsidR="00B8535C" w:rsidRPr="006E30DA" w:rsidRDefault="00B8535C" w:rsidP="00B8535C">
      <w:pPr>
        <w:numPr>
          <w:ilvl w:val="0"/>
          <w:numId w:val="16"/>
        </w:numPr>
        <w:rPr>
          <w:rFonts w:cs="Times New Roman"/>
        </w:rPr>
      </w:pPr>
      <w:r w:rsidRPr="006E30DA">
        <w:rPr>
          <w:rFonts w:cs="Times New Roman"/>
        </w:rPr>
        <w:t>Literacy and instructional decision-making</w:t>
      </w:r>
    </w:p>
    <w:p w14:paraId="1640E891" w14:textId="77777777" w:rsidR="00B8535C" w:rsidRPr="006E30DA" w:rsidRDefault="00B8535C" w:rsidP="00B8535C">
      <w:pPr>
        <w:rPr>
          <w:rFonts w:cs="Times New Roman"/>
        </w:rPr>
      </w:pPr>
      <w:r w:rsidRPr="006E30DA">
        <w:rPr>
          <w:rFonts w:cs="Times New Roman"/>
        </w:rPr>
        <w:t>The alignment between alumni and principal feedback suggests accurate self-assessment by completers and clearly defined areas for continued program improvement.</w:t>
      </w:r>
    </w:p>
    <w:p w14:paraId="5326C908" w14:textId="77777777" w:rsidR="00B8535C" w:rsidRPr="006E30DA" w:rsidRDefault="00B8535C" w:rsidP="00B8535C">
      <w:pPr>
        <w:rPr>
          <w:rFonts w:cs="Times New Roman"/>
        </w:rPr>
      </w:pPr>
      <w:r w:rsidRPr="006E30DA">
        <w:rPr>
          <w:rFonts w:cs="Times New Roman"/>
        </w:rPr>
        <w:t>Program Quality and Preparation</w:t>
      </w:r>
    </w:p>
    <w:p w14:paraId="11FB2741" w14:textId="77777777" w:rsidR="00B8535C" w:rsidRPr="006E30DA" w:rsidRDefault="00B8535C" w:rsidP="00B8535C">
      <w:pPr>
        <w:rPr>
          <w:rFonts w:cs="Times New Roman"/>
        </w:rPr>
      </w:pPr>
      <w:r w:rsidRPr="006E30DA">
        <w:rPr>
          <w:rFonts w:cs="Times New Roman"/>
        </w:rPr>
        <w:t>Alumni rated the overall quality of the professional education program positively, with most respondents selecting Good or Very Good. Similarly, principals rated the overall quality of preparation highly, with a mean program quality rating of 3.97 on a five-point scale. These ratings indicate strong satisfaction with program preparation while still identifying areas for targeted enhancement.</w:t>
      </w:r>
    </w:p>
    <w:p w14:paraId="6B1D98F1" w14:textId="77777777" w:rsidR="00B8535C" w:rsidRPr="006E30DA" w:rsidRDefault="00B8535C" w:rsidP="00B8535C">
      <w:pPr>
        <w:rPr>
          <w:rFonts w:cs="Times New Roman"/>
        </w:rPr>
      </w:pPr>
      <w:r w:rsidRPr="006E30DA">
        <w:rPr>
          <w:rFonts w:cs="Times New Roman"/>
        </w:rPr>
        <w:t>Use of Data for Continuous Improvement</w:t>
      </w:r>
    </w:p>
    <w:p w14:paraId="69813575" w14:textId="77777777" w:rsidR="00B8535C" w:rsidRPr="006E30DA" w:rsidRDefault="00B8535C" w:rsidP="00B8535C">
      <w:pPr>
        <w:rPr>
          <w:rFonts w:cs="Times New Roman"/>
        </w:rPr>
      </w:pPr>
      <w:r w:rsidRPr="006E30DA">
        <w:rPr>
          <w:rFonts w:cs="Times New Roman"/>
        </w:rPr>
        <w:t>In alignment with CAEP expectations, Lindenwood University uses completer effectiveness and impact data to guide continuous program improvement. Based on alumni and principal feedback, the College of Education and Human Services has identified the following priority areas:</w:t>
      </w:r>
    </w:p>
    <w:p w14:paraId="1CECB687" w14:textId="77777777" w:rsidR="00B8535C" w:rsidRPr="006E30DA" w:rsidRDefault="00B8535C" w:rsidP="00B8535C">
      <w:pPr>
        <w:numPr>
          <w:ilvl w:val="0"/>
          <w:numId w:val="17"/>
        </w:numPr>
        <w:rPr>
          <w:rFonts w:cs="Times New Roman"/>
        </w:rPr>
      </w:pPr>
      <w:r w:rsidRPr="006E30DA">
        <w:rPr>
          <w:rFonts w:cs="Times New Roman"/>
        </w:rPr>
        <w:lastRenderedPageBreak/>
        <w:t>Expanded instruction and practice in classroom management and behavior support</w:t>
      </w:r>
    </w:p>
    <w:p w14:paraId="40231789" w14:textId="77777777" w:rsidR="00B8535C" w:rsidRPr="006E30DA" w:rsidRDefault="00B8535C" w:rsidP="00B8535C">
      <w:pPr>
        <w:numPr>
          <w:ilvl w:val="0"/>
          <w:numId w:val="17"/>
        </w:numPr>
        <w:rPr>
          <w:rFonts w:cs="Times New Roman"/>
        </w:rPr>
      </w:pPr>
      <w:r w:rsidRPr="006E30DA">
        <w:rPr>
          <w:rFonts w:cs="Times New Roman"/>
        </w:rPr>
        <w:t>Increased focus on differentiation, including ELL, gifted, and special education strategies</w:t>
      </w:r>
    </w:p>
    <w:p w14:paraId="1D4AA8FB" w14:textId="77777777" w:rsidR="00B8535C" w:rsidRPr="006E30DA" w:rsidRDefault="00B8535C" w:rsidP="00B8535C">
      <w:pPr>
        <w:numPr>
          <w:ilvl w:val="0"/>
          <w:numId w:val="17"/>
        </w:numPr>
        <w:rPr>
          <w:rFonts w:cs="Times New Roman"/>
        </w:rPr>
      </w:pPr>
      <w:r w:rsidRPr="006E30DA">
        <w:rPr>
          <w:rFonts w:cs="Times New Roman"/>
        </w:rPr>
        <w:t>Enhanced preparation for literacy instruction across content areas</w:t>
      </w:r>
    </w:p>
    <w:p w14:paraId="5441603A" w14:textId="77777777" w:rsidR="00B8535C" w:rsidRPr="006E30DA" w:rsidRDefault="00B8535C" w:rsidP="00B8535C">
      <w:pPr>
        <w:numPr>
          <w:ilvl w:val="0"/>
          <w:numId w:val="17"/>
        </w:numPr>
        <w:rPr>
          <w:rFonts w:cs="Times New Roman"/>
        </w:rPr>
      </w:pPr>
      <w:r w:rsidRPr="006E30DA">
        <w:rPr>
          <w:rFonts w:cs="Times New Roman"/>
        </w:rPr>
        <w:t>Continued emphasis on relationships, SEL, and trauma-informed approaches</w:t>
      </w:r>
    </w:p>
    <w:p w14:paraId="6B157001" w14:textId="77777777" w:rsidR="00B8535C" w:rsidRPr="006E30DA" w:rsidRDefault="00B8535C" w:rsidP="00B8535C">
      <w:pPr>
        <w:rPr>
          <w:rFonts w:cs="Times New Roman"/>
        </w:rPr>
      </w:pPr>
      <w:r w:rsidRPr="006E30DA">
        <w:rPr>
          <w:rFonts w:cs="Times New Roman"/>
        </w:rPr>
        <w:t>These priorities inform course revisions, field experience expectations, and refinement of key assessments to ensure continued responsiveness to P–12 classroom realities.</w:t>
      </w:r>
    </w:p>
    <w:p w14:paraId="34F30251" w14:textId="03F16D88" w:rsidR="004D6479" w:rsidRPr="00C808F2" w:rsidRDefault="004D6479" w:rsidP="004D6479">
      <w:pPr>
        <w:pStyle w:val="NormalWeb"/>
        <w:rPr>
          <w:b/>
          <w:bCs/>
          <w:color w:val="000000"/>
          <w:sz w:val="28"/>
          <w:szCs w:val="28"/>
          <w:u w:val="single"/>
        </w:rPr>
      </w:pPr>
      <w:r w:rsidRPr="00C808F2">
        <w:rPr>
          <w:b/>
          <w:bCs/>
          <w:color w:val="000000"/>
          <w:sz w:val="28"/>
          <w:szCs w:val="28"/>
          <w:u w:val="single"/>
        </w:rPr>
        <w:t>Department Head Response</w:t>
      </w:r>
    </w:p>
    <w:p w14:paraId="7C166113" w14:textId="77777777" w:rsidR="00AE45E6" w:rsidRPr="00B60772" w:rsidRDefault="00AE45E6" w:rsidP="00AE45E6">
      <w:pPr>
        <w:rPr>
          <w:rFonts w:ascii="Times New Roman" w:hAnsi="Times New Roman" w:cs="Times New Roman"/>
        </w:rPr>
      </w:pPr>
      <w:r w:rsidRPr="00B60772">
        <w:rPr>
          <w:rFonts w:ascii="Times New Roman" w:hAnsi="Times New Roman" w:cs="Times New Roman"/>
        </w:rPr>
        <w:t>As Department Head, I have reviewed the alumni survey results, principal evaluations of first-year teachers, and faculty analyses presented in this report. Collectively, these data provide strong evidence that completers of Lindenwood University’s educator preparation programs are effectively applying professional knowledge, skills, and dispositions in P–12 settings, consistent with CAEP Standard 4 expectations.</w:t>
      </w:r>
    </w:p>
    <w:p w14:paraId="0197162F" w14:textId="77777777" w:rsidR="00AE45E6" w:rsidRPr="00B60772" w:rsidRDefault="00AE45E6" w:rsidP="00AE45E6">
      <w:pPr>
        <w:rPr>
          <w:rFonts w:ascii="Times New Roman" w:hAnsi="Times New Roman" w:cs="Times New Roman"/>
        </w:rPr>
      </w:pPr>
      <w:r w:rsidRPr="00B60772">
        <w:rPr>
          <w:rFonts w:ascii="Times New Roman" w:hAnsi="Times New Roman" w:cs="Times New Roman"/>
        </w:rPr>
        <w:t>Employer feedback offers particularly compelling external validation of program effectiveness. Principals supervising first-year Lindenwood graduates rated the overall quality of preparation at a mean of 3.97 on a five-point scale, and 78% of principals rated graduates as Effective or Highly Effective in both their overall impact on students and their ability to achieve expected levels of student growth. These findings align with alumni self-reports describing strong confidence in their instructional effectiveness and positive impact on student learning.</w:t>
      </w:r>
    </w:p>
    <w:p w14:paraId="1C3ABB5B" w14:textId="77777777" w:rsidR="00AE45E6" w:rsidRPr="00B60772" w:rsidRDefault="00AE45E6" w:rsidP="00AE45E6">
      <w:pPr>
        <w:rPr>
          <w:rFonts w:ascii="Times New Roman" w:hAnsi="Times New Roman" w:cs="Times New Roman"/>
        </w:rPr>
      </w:pPr>
      <w:r w:rsidRPr="00B60772">
        <w:rPr>
          <w:rFonts w:ascii="Times New Roman" w:hAnsi="Times New Roman" w:cs="Times New Roman"/>
        </w:rPr>
        <w:t>Across the Missouri Teacher Standards, principals most consistently affirmed completer strengths in Effective Communication, Professional Collaboration, and Positive Classroom Environment. Notably, principals rated graduates highly in fostering positive student relationships (M = 4.27) and collaborating with colleagues to support student learning (M = 4.08). These strengths are echoed in alumni self-assessments and reflect sustained program emphasis on relationship-building, professionalism, and collaborative practice.</w:t>
      </w:r>
    </w:p>
    <w:p w14:paraId="143240F8" w14:textId="08A817B8" w:rsidR="00AE45E6" w:rsidRPr="00B60772" w:rsidRDefault="00AE45E6" w:rsidP="00AE45E6">
      <w:pPr>
        <w:rPr>
          <w:rFonts w:ascii="Times New Roman" w:hAnsi="Times New Roman" w:cs="Times New Roman"/>
        </w:rPr>
      </w:pPr>
      <w:r w:rsidRPr="00B60772">
        <w:rPr>
          <w:rFonts w:ascii="Times New Roman" w:hAnsi="Times New Roman" w:cs="Times New Roman"/>
        </w:rPr>
        <w:t xml:space="preserve">At the same time, both employer and completer data identify clear and consistent areas for growth. Principal mean ratings were comparatively lower in areas related to classroom management and behavior support (e.g., managing discipline issues, </w:t>
      </w:r>
      <w:r w:rsidRPr="00B60772">
        <w:rPr>
          <w:rFonts w:ascii="Times New Roman" w:hAnsi="Times New Roman" w:cs="Times New Roman"/>
          <w:i/>
          <w:iCs/>
        </w:rPr>
        <w:t>M = 3.51</w:t>
      </w:r>
      <w:r w:rsidRPr="00B60772">
        <w:rPr>
          <w:rFonts w:ascii="Times New Roman" w:hAnsi="Times New Roman" w:cs="Times New Roman"/>
        </w:rPr>
        <w:t xml:space="preserve">; use of classroom management strategies, </w:t>
      </w:r>
      <w:r w:rsidRPr="00B60772">
        <w:rPr>
          <w:rFonts w:ascii="Times New Roman" w:hAnsi="Times New Roman" w:cs="Times New Roman"/>
          <w:i/>
          <w:iCs/>
        </w:rPr>
        <w:t>M = 3.65</w:t>
      </w:r>
      <w:r w:rsidRPr="00B60772">
        <w:rPr>
          <w:rFonts w:ascii="Times New Roman" w:hAnsi="Times New Roman" w:cs="Times New Roman"/>
        </w:rPr>
        <w:t xml:space="preserve">), as well as instructional differentiation for English learners and gifted students (both </w:t>
      </w:r>
      <w:r w:rsidRPr="00B60772">
        <w:rPr>
          <w:rFonts w:ascii="Times New Roman" w:hAnsi="Times New Roman" w:cs="Times New Roman"/>
          <w:i/>
          <w:iCs/>
        </w:rPr>
        <w:t>M = 3.51</w:t>
      </w:r>
      <w:r w:rsidRPr="00B60772">
        <w:rPr>
          <w:rFonts w:ascii="Times New Roman" w:hAnsi="Times New Roman" w:cs="Times New Roman"/>
        </w:rPr>
        <w:t xml:space="preserve">). Literacy preparation, particularly </w:t>
      </w:r>
      <w:r w:rsidRPr="00B60772">
        <w:rPr>
          <w:rFonts w:ascii="Times New Roman" w:hAnsi="Times New Roman" w:cs="Times New Roman"/>
        </w:rPr>
        <w:lastRenderedPageBreak/>
        <w:t>differentiating instruction for struggling readers (</w:t>
      </w:r>
      <w:r w:rsidRPr="00B60772">
        <w:rPr>
          <w:rFonts w:ascii="Times New Roman" w:hAnsi="Times New Roman" w:cs="Times New Roman"/>
          <w:i/>
          <w:iCs/>
        </w:rPr>
        <w:t>M = 3.37</w:t>
      </w:r>
      <w:r w:rsidRPr="00B60772">
        <w:rPr>
          <w:rFonts w:ascii="Times New Roman" w:hAnsi="Times New Roman" w:cs="Times New Roman"/>
        </w:rPr>
        <w:t>) also emerged as an area for targeted enhancement. These findings mirror alumni-identified challenges and faculty observations, reinforcing the validity of the data and highlighting authentic first-year teaching needs.</w:t>
      </w:r>
    </w:p>
    <w:p w14:paraId="66F31DD4" w14:textId="77777777" w:rsidR="00AE45E6" w:rsidRPr="00B60772" w:rsidRDefault="00AE45E6" w:rsidP="00AE45E6">
      <w:pPr>
        <w:rPr>
          <w:rFonts w:ascii="Times New Roman" w:hAnsi="Times New Roman" w:cs="Times New Roman"/>
        </w:rPr>
      </w:pPr>
      <w:r w:rsidRPr="00B60772">
        <w:rPr>
          <w:rFonts w:ascii="Times New Roman" w:hAnsi="Times New Roman" w:cs="Times New Roman"/>
        </w:rPr>
        <w:t>In response, the College of Education and Human Services has prioritized programmatic improvements that directly address these findings. Current and planned actions include enhanced coursework and field-based practice in classroom management and behavior support, expanded instruction in differentiation across learner populations, increased emphasis on literacy instruction across content areas, and continued integration of trauma-informed and SEL-focused practices. Faculty are using these data to guide course revisions, strengthen clinical expectations, and refine key assessments to ensure graduates are well prepared for the realities of today’s classrooms.</w:t>
      </w:r>
    </w:p>
    <w:p w14:paraId="17CC4B43" w14:textId="77777777" w:rsidR="00AE45E6" w:rsidRPr="00B60772" w:rsidRDefault="00AE45E6" w:rsidP="00AE45E6">
      <w:pPr>
        <w:rPr>
          <w:rFonts w:ascii="Times New Roman" w:hAnsi="Times New Roman" w:cs="Times New Roman"/>
        </w:rPr>
      </w:pPr>
      <w:r w:rsidRPr="00B60772">
        <w:rPr>
          <w:rFonts w:ascii="Times New Roman" w:hAnsi="Times New Roman" w:cs="Times New Roman"/>
        </w:rPr>
        <w:t>Overall, the convergence of alumni perceptions, employer evaluations, and faculty analysis provides strong evidence that Lindenwood University’s educator preparation programs are producing effective beginning teachers who positively impact P–12 student learning. Equally important, these data inform a clear and focused plan for continuous improvement, reflecting the unit’s commitment to responsive, evidence-based program development.</w:t>
      </w:r>
    </w:p>
    <w:p w14:paraId="55C963AE" w14:textId="77777777" w:rsidR="00222E5C" w:rsidRPr="00EB3A1B" w:rsidRDefault="00222E5C">
      <w:pPr>
        <w:rPr>
          <w:rFonts w:ascii="Times New Roman" w:hAnsi="Times New Roman" w:cs="Times New Roman"/>
        </w:rPr>
      </w:pPr>
    </w:p>
    <w:sectPr w:rsidR="00222E5C" w:rsidRPr="00EB3A1B" w:rsidSect="00F439CA">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7C249" w14:textId="77777777" w:rsidR="000D3274" w:rsidRDefault="000D3274" w:rsidP="00D55AF0">
      <w:pPr>
        <w:spacing w:after="0" w:line="240" w:lineRule="auto"/>
      </w:pPr>
      <w:r>
        <w:separator/>
      </w:r>
    </w:p>
  </w:endnote>
  <w:endnote w:type="continuationSeparator" w:id="0">
    <w:p w14:paraId="003A788A" w14:textId="77777777" w:rsidR="000D3274" w:rsidRDefault="000D3274" w:rsidP="00D55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5376" w14:textId="48910899" w:rsidR="007E1D41" w:rsidRDefault="007E1D41">
    <w:pPr>
      <w:pStyle w:val="Footer"/>
    </w:pPr>
    <w: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64F78" w14:textId="77777777" w:rsidR="000D3274" w:rsidRDefault="000D3274" w:rsidP="00D55AF0">
      <w:pPr>
        <w:spacing w:after="0" w:line="240" w:lineRule="auto"/>
      </w:pPr>
      <w:r>
        <w:separator/>
      </w:r>
    </w:p>
  </w:footnote>
  <w:footnote w:type="continuationSeparator" w:id="0">
    <w:p w14:paraId="0AFE5A81" w14:textId="77777777" w:rsidR="000D3274" w:rsidRDefault="000D3274" w:rsidP="00D55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9B6C" w14:textId="77777777" w:rsidR="00D55AF0" w:rsidRDefault="00D55AF0" w:rsidP="00011BB7">
    <w:pPr>
      <w:jc w:val="center"/>
      <w:rPr>
        <w:rFonts w:ascii="Times New Roman" w:hAnsi="Times New Roman" w:cs="Times New Roman"/>
        <w:b/>
        <w:bCs/>
        <w:sz w:val="32"/>
        <w:szCs w:val="32"/>
      </w:rPr>
    </w:pPr>
    <w:r w:rsidRPr="00C808F2">
      <w:rPr>
        <w:rFonts w:ascii="Times New Roman" w:hAnsi="Times New Roman" w:cs="Times New Roman"/>
        <w:b/>
        <w:bCs/>
        <w:sz w:val="32"/>
        <w:szCs w:val="32"/>
      </w:rPr>
      <w:t>Lindenwood University College of Education and Human Services</w:t>
    </w:r>
  </w:p>
  <w:p w14:paraId="505871DD" w14:textId="77777777" w:rsidR="00613BDF" w:rsidRPr="00D55AF0" w:rsidRDefault="00613BDF" w:rsidP="00011BB7">
    <w:pPr>
      <w:jc w:val="center"/>
      <w:rPr>
        <w:rFonts w:ascii="Times New Roman" w:hAnsi="Times New Roman" w:cs="Times New Roman"/>
        <w:b/>
        <w:bCs/>
        <w:sz w:val="28"/>
        <w:szCs w:val="28"/>
      </w:rPr>
    </w:pPr>
    <w:r w:rsidRPr="00D55AF0">
      <w:rPr>
        <w:rFonts w:ascii="Times New Roman" w:hAnsi="Times New Roman" w:cs="Times New Roman"/>
        <w:b/>
        <w:bCs/>
        <w:sz w:val="28"/>
        <w:szCs w:val="28"/>
      </w:rPr>
      <w:t>Alumni Survey on Teacher effectiveness and Impact on P-12 Student Learning</w:t>
    </w:r>
  </w:p>
  <w:p w14:paraId="0BFB32D6" w14:textId="77777777" w:rsidR="00D55AF0" w:rsidRDefault="00D55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50E6"/>
    <w:multiLevelType w:val="hybridMultilevel"/>
    <w:tmpl w:val="9746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F493E"/>
    <w:multiLevelType w:val="hybridMultilevel"/>
    <w:tmpl w:val="4AAAC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1354"/>
    <w:multiLevelType w:val="multilevel"/>
    <w:tmpl w:val="4E8C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E0918"/>
    <w:multiLevelType w:val="hybridMultilevel"/>
    <w:tmpl w:val="1D1AC7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837252"/>
    <w:multiLevelType w:val="hybridMultilevel"/>
    <w:tmpl w:val="04325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292F65"/>
    <w:multiLevelType w:val="hybridMultilevel"/>
    <w:tmpl w:val="B0D8D2C2"/>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1162410"/>
    <w:multiLevelType w:val="hybridMultilevel"/>
    <w:tmpl w:val="6B10A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3B25AE"/>
    <w:multiLevelType w:val="multilevel"/>
    <w:tmpl w:val="6BB0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7E2132"/>
    <w:multiLevelType w:val="hybridMultilevel"/>
    <w:tmpl w:val="7DFA7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942113"/>
    <w:multiLevelType w:val="hybridMultilevel"/>
    <w:tmpl w:val="E4BA51B2"/>
    <w:lvl w:ilvl="0" w:tplc="0B200D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6C3AF6"/>
    <w:multiLevelType w:val="multilevel"/>
    <w:tmpl w:val="3EA8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C68D8"/>
    <w:multiLevelType w:val="hybridMultilevel"/>
    <w:tmpl w:val="EEC6D0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61007D8D"/>
    <w:multiLevelType w:val="multilevel"/>
    <w:tmpl w:val="DD5E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775EB5"/>
    <w:multiLevelType w:val="hybridMultilevel"/>
    <w:tmpl w:val="0B564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5545836"/>
    <w:multiLevelType w:val="hybridMultilevel"/>
    <w:tmpl w:val="6526C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F27F9A"/>
    <w:multiLevelType w:val="hybridMultilevel"/>
    <w:tmpl w:val="6D328086"/>
    <w:lvl w:ilvl="0" w:tplc="BB3A541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A847057"/>
    <w:multiLevelType w:val="hybridMultilevel"/>
    <w:tmpl w:val="14FA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067515">
    <w:abstractNumId w:val="4"/>
  </w:num>
  <w:num w:numId="2" w16cid:durableId="1590579261">
    <w:abstractNumId w:val="9"/>
  </w:num>
  <w:num w:numId="3" w16cid:durableId="1895461180">
    <w:abstractNumId w:val="5"/>
  </w:num>
  <w:num w:numId="4" w16cid:durableId="231550572">
    <w:abstractNumId w:val="3"/>
  </w:num>
  <w:num w:numId="5" w16cid:durableId="1023288667">
    <w:abstractNumId w:val="15"/>
  </w:num>
  <w:num w:numId="6" w16cid:durableId="1818105519">
    <w:abstractNumId w:val="14"/>
  </w:num>
  <w:num w:numId="7" w16cid:durableId="91360911">
    <w:abstractNumId w:val="8"/>
  </w:num>
  <w:num w:numId="8" w16cid:durableId="697195799">
    <w:abstractNumId w:val="0"/>
  </w:num>
  <w:num w:numId="9" w16cid:durableId="991645146">
    <w:abstractNumId w:val="13"/>
  </w:num>
  <w:num w:numId="10" w16cid:durableId="1840270527">
    <w:abstractNumId w:val="1"/>
  </w:num>
  <w:num w:numId="11" w16cid:durableId="544297815">
    <w:abstractNumId w:val="16"/>
  </w:num>
  <w:num w:numId="12" w16cid:durableId="1476993471">
    <w:abstractNumId w:val="11"/>
  </w:num>
  <w:num w:numId="13" w16cid:durableId="252781011">
    <w:abstractNumId w:val="6"/>
  </w:num>
  <w:num w:numId="14" w16cid:durableId="964433594">
    <w:abstractNumId w:val="12"/>
  </w:num>
  <w:num w:numId="15" w16cid:durableId="505169410">
    <w:abstractNumId w:val="7"/>
  </w:num>
  <w:num w:numId="16" w16cid:durableId="1574505494">
    <w:abstractNumId w:val="2"/>
  </w:num>
  <w:num w:numId="17" w16cid:durableId="11376429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1B"/>
    <w:rsid w:val="00011BB7"/>
    <w:rsid w:val="00021E75"/>
    <w:rsid w:val="000624CF"/>
    <w:rsid w:val="000D3274"/>
    <w:rsid w:val="000E3C8F"/>
    <w:rsid w:val="0015641E"/>
    <w:rsid w:val="00170CF0"/>
    <w:rsid w:val="00183B27"/>
    <w:rsid w:val="001A1F15"/>
    <w:rsid w:val="001C32B9"/>
    <w:rsid w:val="001D7588"/>
    <w:rsid w:val="00222E5C"/>
    <w:rsid w:val="00253ED2"/>
    <w:rsid w:val="00275F73"/>
    <w:rsid w:val="002844F1"/>
    <w:rsid w:val="002955F2"/>
    <w:rsid w:val="002C028E"/>
    <w:rsid w:val="002E05AE"/>
    <w:rsid w:val="003167E6"/>
    <w:rsid w:val="003524EB"/>
    <w:rsid w:val="00390FB8"/>
    <w:rsid w:val="003C7E61"/>
    <w:rsid w:val="003F6DFD"/>
    <w:rsid w:val="004024A8"/>
    <w:rsid w:val="004C426F"/>
    <w:rsid w:val="004D5670"/>
    <w:rsid w:val="004D6479"/>
    <w:rsid w:val="00514603"/>
    <w:rsid w:val="00562B0C"/>
    <w:rsid w:val="005A1A55"/>
    <w:rsid w:val="005B16A1"/>
    <w:rsid w:val="005C7825"/>
    <w:rsid w:val="00613BDF"/>
    <w:rsid w:val="0067242A"/>
    <w:rsid w:val="006830BB"/>
    <w:rsid w:val="006A5775"/>
    <w:rsid w:val="006E7BBB"/>
    <w:rsid w:val="007E1D41"/>
    <w:rsid w:val="008858A2"/>
    <w:rsid w:val="008945DB"/>
    <w:rsid w:val="008A18BC"/>
    <w:rsid w:val="008F3FDE"/>
    <w:rsid w:val="00907C26"/>
    <w:rsid w:val="00920AED"/>
    <w:rsid w:val="00963B90"/>
    <w:rsid w:val="00992344"/>
    <w:rsid w:val="00996FD6"/>
    <w:rsid w:val="00A06A8C"/>
    <w:rsid w:val="00A32BBE"/>
    <w:rsid w:val="00A442BA"/>
    <w:rsid w:val="00A53439"/>
    <w:rsid w:val="00A62D9D"/>
    <w:rsid w:val="00A649C5"/>
    <w:rsid w:val="00AA67D6"/>
    <w:rsid w:val="00AE1912"/>
    <w:rsid w:val="00AE1EF1"/>
    <w:rsid w:val="00AE45E6"/>
    <w:rsid w:val="00AE46B2"/>
    <w:rsid w:val="00AE5F92"/>
    <w:rsid w:val="00AF5449"/>
    <w:rsid w:val="00B45205"/>
    <w:rsid w:val="00B60772"/>
    <w:rsid w:val="00B6081C"/>
    <w:rsid w:val="00B665A7"/>
    <w:rsid w:val="00B8535C"/>
    <w:rsid w:val="00B9272B"/>
    <w:rsid w:val="00BC4AD6"/>
    <w:rsid w:val="00C808F2"/>
    <w:rsid w:val="00C92DB4"/>
    <w:rsid w:val="00D27D2B"/>
    <w:rsid w:val="00D35A79"/>
    <w:rsid w:val="00D55AF0"/>
    <w:rsid w:val="00D60F5C"/>
    <w:rsid w:val="00D71737"/>
    <w:rsid w:val="00DF54BE"/>
    <w:rsid w:val="00E4107C"/>
    <w:rsid w:val="00E71BEC"/>
    <w:rsid w:val="00EA3855"/>
    <w:rsid w:val="00EB3A1B"/>
    <w:rsid w:val="00F161F8"/>
    <w:rsid w:val="00F2108E"/>
    <w:rsid w:val="00F43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0D721"/>
  <w15:chartTrackingRefBased/>
  <w15:docId w15:val="{09C0130B-88DF-4053-8124-A2A096C4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A1B"/>
    <w:rPr>
      <w:rFonts w:eastAsiaTheme="majorEastAsia" w:cstheme="majorBidi"/>
      <w:color w:val="272727" w:themeColor="text1" w:themeTint="D8"/>
    </w:rPr>
  </w:style>
  <w:style w:type="paragraph" w:styleId="Title">
    <w:name w:val="Title"/>
    <w:basedOn w:val="Normal"/>
    <w:next w:val="Normal"/>
    <w:link w:val="TitleChar"/>
    <w:uiPriority w:val="10"/>
    <w:qFormat/>
    <w:rsid w:val="00EB3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A1B"/>
    <w:pPr>
      <w:spacing w:before="160"/>
      <w:jc w:val="center"/>
    </w:pPr>
    <w:rPr>
      <w:i/>
      <w:iCs/>
      <w:color w:val="404040" w:themeColor="text1" w:themeTint="BF"/>
    </w:rPr>
  </w:style>
  <w:style w:type="character" w:customStyle="1" w:styleId="QuoteChar">
    <w:name w:val="Quote Char"/>
    <w:basedOn w:val="DefaultParagraphFont"/>
    <w:link w:val="Quote"/>
    <w:uiPriority w:val="29"/>
    <w:rsid w:val="00EB3A1B"/>
    <w:rPr>
      <w:i/>
      <w:iCs/>
      <w:color w:val="404040" w:themeColor="text1" w:themeTint="BF"/>
    </w:rPr>
  </w:style>
  <w:style w:type="paragraph" w:styleId="ListParagraph">
    <w:name w:val="List Paragraph"/>
    <w:basedOn w:val="Normal"/>
    <w:uiPriority w:val="34"/>
    <w:qFormat/>
    <w:rsid w:val="00EB3A1B"/>
    <w:pPr>
      <w:ind w:left="720"/>
      <w:contextualSpacing/>
    </w:pPr>
  </w:style>
  <w:style w:type="character" w:styleId="IntenseEmphasis">
    <w:name w:val="Intense Emphasis"/>
    <w:basedOn w:val="DefaultParagraphFont"/>
    <w:uiPriority w:val="21"/>
    <w:qFormat/>
    <w:rsid w:val="00EB3A1B"/>
    <w:rPr>
      <w:i/>
      <w:iCs/>
      <w:color w:val="0F4761" w:themeColor="accent1" w:themeShade="BF"/>
    </w:rPr>
  </w:style>
  <w:style w:type="paragraph" w:styleId="IntenseQuote">
    <w:name w:val="Intense Quote"/>
    <w:basedOn w:val="Normal"/>
    <w:next w:val="Normal"/>
    <w:link w:val="IntenseQuoteChar"/>
    <w:uiPriority w:val="30"/>
    <w:qFormat/>
    <w:rsid w:val="00EB3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A1B"/>
    <w:rPr>
      <w:i/>
      <w:iCs/>
      <w:color w:val="0F4761" w:themeColor="accent1" w:themeShade="BF"/>
    </w:rPr>
  </w:style>
  <w:style w:type="character" w:styleId="IntenseReference">
    <w:name w:val="Intense Reference"/>
    <w:basedOn w:val="DefaultParagraphFont"/>
    <w:uiPriority w:val="32"/>
    <w:qFormat/>
    <w:rsid w:val="00EB3A1B"/>
    <w:rPr>
      <w:b/>
      <w:bCs/>
      <w:smallCaps/>
      <w:color w:val="0F4761" w:themeColor="accent1" w:themeShade="BF"/>
      <w:spacing w:val="5"/>
    </w:rPr>
  </w:style>
  <w:style w:type="paragraph" w:styleId="NormalWeb">
    <w:name w:val="Normal (Web)"/>
    <w:basedOn w:val="Normal"/>
    <w:uiPriority w:val="99"/>
    <w:unhideWhenUsed/>
    <w:rsid w:val="00EB3A1B"/>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253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5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AF0"/>
  </w:style>
  <w:style w:type="paragraph" w:styleId="Footer">
    <w:name w:val="footer"/>
    <w:basedOn w:val="Normal"/>
    <w:link w:val="FooterChar"/>
    <w:uiPriority w:val="99"/>
    <w:unhideWhenUsed/>
    <w:rsid w:val="00D55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AF0"/>
  </w:style>
  <w:style w:type="table" w:styleId="GridTable1Light">
    <w:name w:val="Grid Table 1 Light"/>
    <w:basedOn w:val="TableNormal"/>
    <w:uiPriority w:val="46"/>
    <w:rsid w:val="003C7E6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7E61"/>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3C7E6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C7E6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7E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70274">
      <w:bodyDiv w:val="1"/>
      <w:marLeft w:val="0"/>
      <w:marRight w:val="0"/>
      <w:marTop w:val="0"/>
      <w:marBottom w:val="0"/>
      <w:divBdr>
        <w:top w:val="none" w:sz="0" w:space="0" w:color="auto"/>
        <w:left w:val="none" w:sz="0" w:space="0" w:color="auto"/>
        <w:bottom w:val="none" w:sz="0" w:space="0" w:color="auto"/>
        <w:right w:val="none" w:sz="0" w:space="0" w:color="auto"/>
      </w:divBdr>
    </w:div>
    <w:div w:id="131559845">
      <w:bodyDiv w:val="1"/>
      <w:marLeft w:val="0"/>
      <w:marRight w:val="0"/>
      <w:marTop w:val="0"/>
      <w:marBottom w:val="0"/>
      <w:divBdr>
        <w:top w:val="none" w:sz="0" w:space="0" w:color="auto"/>
        <w:left w:val="none" w:sz="0" w:space="0" w:color="auto"/>
        <w:bottom w:val="none" w:sz="0" w:space="0" w:color="auto"/>
        <w:right w:val="none" w:sz="0" w:space="0" w:color="auto"/>
      </w:divBdr>
    </w:div>
    <w:div w:id="656497151">
      <w:bodyDiv w:val="1"/>
      <w:marLeft w:val="0"/>
      <w:marRight w:val="0"/>
      <w:marTop w:val="0"/>
      <w:marBottom w:val="0"/>
      <w:divBdr>
        <w:top w:val="none" w:sz="0" w:space="0" w:color="auto"/>
        <w:left w:val="none" w:sz="0" w:space="0" w:color="auto"/>
        <w:bottom w:val="none" w:sz="0" w:space="0" w:color="auto"/>
        <w:right w:val="none" w:sz="0" w:space="0" w:color="auto"/>
      </w:divBdr>
    </w:div>
    <w:div w:id="802310959">
      <w:bodyDiv w:val="1"/>
      <w:marLeft w:val="0"/>
      <w:marRight w:val="0"/>
      <w:marTop w:val="0"/>
      <w:marBottom w:val="0"/>
      <w:divBdr>
        <w:top w:val="none" w:sz="0" w:space="0" w:color="auto"/>
        <w:left w:val="none" w:sz="0" w:space="0" w:color="auto"/>
        <w:bottom w:val="none" w:sz="0" w:space="0" w:color="auto"/>
        <w:right w:val="none" w:sz="0" w:space="0" w:color="auto"/>
      </w:divBdr>
    </w:div>
    <w:div w:id="1712536422">
      <w:bodyDiv w:val="1"/>
      <w:marLeft w:val="0"/>
      <w:marRight w:val="0"/>
      <w:marTop w:val="0"/>
      <w:marBottom w:val="0"/>
      <w:divBdr>
        <w:top w:val="none" w:sz="0" w:space="0" w:color="auto"/>
        <w:left w:val="none" w:sz="0" w:space="0" w:color="auto"/>
        <w:bottom w:val="none" w:sz="0" w:space="0" w:color="auto"/>
        <w:right w:val="none" w:sz="0" w:space="0" w:color="auto"/>
      </w:divBdr>
    </w:div>
    <w:div w:id="1727483004">
      <w:bodyDiv w:val="1"/>
      <w:marLeft w:val="0"/>
      <w:marRight w:val="0"/>
      <w:marTop w:val="0"/>
      <w:marBottom w:val="0"/>
      <w:divBdr>
        <w:top w:val="none" w:sz="0" w:space="0" w:color="auto"/>
        <w:left w:val="none" w:sz="0" w:space="0" w:color="auto"/>
        <w:bottom w:val="none" w:sz="0" w:space="0" w:color="auto"/>
        <w:right w:val="none" w:sz="0" w:space="0" w:color="auto"/>
      </w:divBdr>
    </w:div>
    <w:div w:id="1785418674">
      <w:bodyDiv w:val="1"/>
      <w:marLeft w:val="0"/>
      <w:marRight w:val="0"/>
      <w:marTop w:val="0"/>
      <w:marBottom w:val="0"/>
      <w:divBdr>
        <w:top w:val="none" w:sz="0" w:space="0" w:color="auto"/>
        <w:left w:val="none" w:sz="0" w:space="0" w:color="auto"/>
        <w:bottom w:val="none" w:sz="0" w:space="0" w:color="auto"/>
        <w:right w:val="none" w:sz="0" w:space="0" w:color="auto"/>
      </w:divBdr>
    </w:div>
    <w:div w:id="1869560828">
      <w:bodyDiv w:val="1"/>
      <w:marLeft w:val="0"/>
      <w:marRight w:val="0"/>
      <w:marTop w:val="0"/>
      <w:marBottom w:val="0"/>
      <w:divBdr>
        <w:top w:val="none" w:sz="0" w:space="0" w:color="auto"/>
        <w:left w:val="none" w:sz="0" w:space="0" w:color="auto"/>
        <w:bottom w:val="none" w:sz="0" w:space="0" w:color="auto"/>
        <w:right w:val="none" w:sz="0" w:space="0" w:color="auto"/>
      </w:divBdr>
    </w:div>
    <w:div w:id="194899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d72f08e-540a-4c68-905d-9e69c4d9c61e}" enabled="0" method="" siteId="{3d72f08e-540a-4c68-905d-9e69c4d9c61e}"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Lindenwood University</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Michelle</dc:creator>
  <cp:keywords/>
  <dc:description/>
  <cp:lastModifiedBy>Cypret-Mahach, Ronda</cp:lastModifiedBy>
  <cp:revision>3</cp:revision>
  <dcterms:created xsi:type="dcterms:W3CDTF">2026-04-23T21:24:00Z</dcterms:created>
  <dcterms:modified xsi:type="dcterms:W3CDTF">2026-04-23T21:27:00Z</dcterms:modified>
</cp:coreProperties>
</file>